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F6" w:rsidRDefault="00C933F6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33DDD" w:rsidRPr="000C1213" w:rsidRDefault="00D33DDD" w:rsidP="00D33DD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1213">
        <w:rPr>
          <w:rFonts w:ascii="GHEA Grapalat" w:hAnsi="GHEA Grapalat" w:cs="Sylfaen"/>
          <w:b/>
          <w:sz w:val="24"/>
          <w:szCs w:val="24"/>
          <w:lang w:val="hy-AM"/>
        </w:rPr>
        <w:t xml:space="preserve">ԱՐԴԱՐԱԴԱՏՈՒԹՅԱՆ ՆԱԽԱՐԱՐՈՒԹՅԱՆ </w:t>
      </w:r>
    </w:p>
    <w:p w:rsidR="00D33DDD" w:rsidRPr="004D4BCB" w:rsidRDefault="00D33DDD" w:rsidP="00D33DDD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C05BB4">
        <w:rPr>
          <w:rFonts w:ascii="GHEA Grapalat" w:hAnsi="GHEA Grapalat"/>
          <w:b/>
          <w:sz w:val="24"/>
          <w:szCs w:val="24"/>
          <w:lang w:val="hy-AM"/>
        </w:rPr>
        <w:t>ՀԻՄՆԱՎՈՐՈՒՄ</w:t>
      </w:r>
      <w:r>
        <w:rPr>
          <w:rFonts w:ascii="GHEA Grapalat" w:hAnsi="GHEA Grapalat"/>
          <w:b/>
          <w:sz w:val="24"/>
          <w:szCs w:val="24"/>
        </w:rPr>
        <w:t>Ը</w:t>
      </w:r>
    </w:p>
    <w:p w:rsidR="00E1184D" w:rsidRDefault="00E1184D" w:rsidP="00E1184D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95260" w:rsidRPr="00D767E8" w:rsidRDefault="00C22825" w:rsidP="00C9526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4064">
        <w:rPr>
          <w:rFonts w:ascii="GHEA Grapalat" w:hAnsi="GHEA Grapalat"/>
          <w:b/>
          <w:sz w:val="24"/>
          <w:szCs w:val="24"/>
          <w:lang w:val="hy-AM"/>
        </w:rPr>
        <w:t>«</w:t>
      </w:r>
      <w:r w:rsidRPr="006E4064">
        <w:rPr>
          <w:rFonts w:ascii="GHEA Grapalat" w:hAnsi="GHEA Grapalat" w:cs="Arial"/>
          <w:b/>
          <w:sz w:val="24"/>
          <w:szCs w:val="24"/>
          <w:lang w:val="hy-AM"/>
        </w:rPr>
        <w:t>ԱՆՁ</w:t>
      </w:r>
      <w:r w:rsidRPr="006E4064">
        <w:rPr>
          <w:rFonts w:ascii="GHEA Grapalat" w:hAnsi="GHEA Grapalat"/>
          <w:b/>
          <w:sz w:val="24"/>
          <w:szCs w:val="24"/>
          <w:lang w:val="hy-AM"/>
        </w:rPr>
        <w:t xml:space="preserve">ՆԱԿԱՆ ՏՎՅԱԼՆԵՐԻ ԱՎՏՈՄԱՏԱՑՎԱԾ ՄՇԱԿՄԱՆ ԴԵՊՔՈՒՄ </w:t>
      </w:r>
    </w:p>
    <w:p w:rsidR="00C95260" w:rsidRPr="00624384" w:rsidRDefault="00C22825" w:rsidP="00C9526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4064">
        <w:rPr>
          <w:rFonts w:ascii="GHEA Grapalat" w:hAnsi="GHEA Grapalat"/>
          <w:b/>
          <w:sz w:val="24"/>
          <w:szCs w:val="24"/>
          <w:lang w:val="hy-AM"/>
        </w:rPr>
        <w:t>ԱՆՀԱՏՆԵՐԻ ՊԱՇՏՊԱՆՈՒԹՅԱՆ ՄԱՍԻՆ» ԿՈՆՎԵՆՑԻԱՆ</w:t>
      </w:r>
    </w:p>
    <w:p w:rsidR="00C95260" w:rsidRPr="00624384" w:rsidRDefault="00C22825" w:rsidP="00C9526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E4064">
        <w:rPr>
          <w:rFonts w:ascii="GHEA Grapalat" w:hAnsi="GHEA Grapalat"/>
          <w:b/>
          <w:sz w:val="24"/>
          <w:szCs w:val="24"/>
          <w:lang w:val="hy-AM"/>
        </w:rPr>
        <w:t xml:space="preserve"> ՓՈՓՈԽՈՂ ԱՐՁԱՆԱԳՐՈՒԹՅԱՆ </w:t>
      </w:r>
      <w:r w:rsidR="00D33DDD">
        <w:rPr>
          <w:rFonts w:ascii="GHEA Grapalat" w:hAnsi="GHEA Grapalat"/>
          <w:b/>
          <w:sz w:val="24"/>
          <w:szCs w:val="24"/>
          <w:lang w:val="ru-RU"/>
        </w:rPr>
        <w:t xml:space="preserve">ՍՏՈՐԱԳՐՄԱՆ </w:t>
      </w:r>
    </w:p>
    <w:p w:rsidR="00C95260" w:rsidRDefault="00C95260" w:rsidP="00C9526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ՆՊԱՏԱԿԱՀԱՐՄԱՐՈՒԹՅԱՆ ՎԵՐԱԲԵՐՅԱԼ</w:t>
      </w:r>
    </w:p>
    <w:p w:rsidR="00C22825" w:rsidRDefault="00C22825" w:rsidP="00C22825">
      <w:pPr>
        <w:tabs>
          <w:tab w:val="left" w:pos="9498"/>
        </w:tabs>
        <w:autoSpaceDE w:val="0"/>
        <w:autoSpaceDN w:val="0"/>
        <w:adjustRightInd w:val="0"/>
        <w:spacing w:line="240" w:lineRule="auto"/>
        <w:ind w:right="283"/>
        <w:jc w:val="center"/>
        <w:rPr>
          <w:rFonts w:ascii="GHEA Grapalat" w:hAnsi="GHEA Grapalat" w:cs="Arial"/>
          <w:bCs/>
          <w:color w:val="161616"/>
          <w:sz w:val="24"/>
          <w:szCs w:val="24"/>
          <w:shd w:val="clear" w:color="auto" w:fill="FFFFFF"/>
          <w:lang w:val="af-ZA"/>
        </w:rPr>
      </w:pPr>
    </w:p>
    <w:p w:rsidR="00C22825" w:rsidRPr="00C22825" w:rsidRDefault="00C22825" w:rsidP="00C22825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2825">
        <w:rPr>
          <w:rFonts w:ascii="GHEA Grapalat" w:hAnsi="GHEA Grapalat" w:cs="Sylfaen"/>
          <w:sz w:val="24"/>
          <w:szCs w:val="24"/>
          <w:lang w:val="hy-AM"/>
        </w:rPr>
        <w:t>Կոնվենցիան անձնական տվյալների պաշտպանության ոլորտում գործող հիմնական միջազգային փաստաթղթերից է, որը Հայաստանի համար ուժի մեջ է մտել 2012 թվականի սեպտեմբերի 1-ին: Միաժամանակ, Արձանագրությունը քննարկվել է Տվյալների պաշտպանության ad hoc կոմիտեի (CAHDATA) ժողովում, որն անցկացվել է 2016թ.-ի հունիսի 15-16-ին Ստրասբուրգում և հայտնի է որպես 108 կոնվենցիայի արդիականացման վերաբերյալ փաստաթուղթ կամ 108+Կոնվենցիա:</w:t>
      </w:r>
    </w:p>
    <w:p w:rsidR="00C22825" w:rsidRPr="00C22825" w:rsidRDefault="00C22825" w:rsidP="00C22825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2825">
        <w:rPr>
          <w:rFonts w:ascii="GHEA Grapalat" w:hAnsi="GHEA Grapalat" w:cs="Sylfaen"/>
          <w:sz w:val="24"/>
          <w:szCs w:val="24"/>
          <w:lang w:val="hy-AM"/>
        </w:rPr>
        <w:t>Միաժամանակ, Արձանագրությունը նախատեսում է ի թիվս այլնի հետևյալ կարևոր փոփոխություններն անձնական տվյալների պաշտպանության ոլորտում.</w:t>
      </w:r>
    </w:p>
    <w:p w:rsidR="00C22825" w:rsidRPr="00C95260" w:rsidRDefault="00C22825" w:rsidP="00C95260">
      <w:pPr>
        <w:pStyle w:val="ListParagraph"/>
        <w:numPr>
          <w:ilvl w:val="0"/>
          <w:numId w:val="3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>նոր խմբագրմամբ Կոնվենցիան չի կիրառվում անհատի կողմից բացառապես անձնական կամ ընտանեկան գործունեության շրջանակներում իրականացվող անձնական տվյալների մշակման նկատմամբ</w:t>
      </w:r>
      <w:r w:rsidR="00C95260" w:rsidRPr="00C952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4),</w:t>
      </w:r>
    </w:p>
    <w:p w:rsidR="00C22825" w:rsidRPr="00C95260" w:rsidRDefault="00C22825" w:rsidP="00C95260">
      <w:pPr>
        <w:pStyle w:val="ListParagraph"/>
        <w:numPr>
          <w:ilvl w:val="0"/>
          <w:numId w:val="3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>յուրաքանչյուր կողմ պարտավորվում է նոր խմբագրմամբ Կոնվենցիայի ուժով ստեղծված ԵԽ Կոնվենցիայի հանձնաժողովին գնահատել Կողմ համդիսացող պետության կողմից Կոնվենցիայով նախատեսված միջոցառումների իրականացման արդյունավետությունը՝ մասնավորապես Կոնվենցիայով նախատեսված կարգավորումները ներպետական օրենսդրության մեջ ամրագրելու տեսանկյունից: Յուրաքանչյուր կողմ պարտավոր է ակտիվորեն նպաստել Հանձնաժողովի կողմից գնահատման գործընթացի</w:t>
      </w:r>
    </w:p>
    <w:p w:rsidR="00C22825" w:rsidRPr="00C95260" w:rsidRDefault="00C22825" w:rsidP="00C22825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C22825">
        <w:rPr>
          <w:rFonts w:ascii="GHEA Grapalat" w:hAnsi="GHEA Grapalat" w:cs="Sylfaen"/>
          <w:sz w:val="24"/>
          <w:szCs w:val="24"/>
          <w:lang w:val="hy-AM"/>
        </w:rPr>
        <w:t xml:space="preserve">իրականացմանը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6)</w:t>
      </w:r>
      <w:r w:rsidR="00C95260" w:rsidRPr="00C95260">
        <w:rPr>
          <w:rFonts w:ascii="GHEA Grapalat" w:hAnsi="GHEA Grapalat" w:cs="Sylfaen"/>
          <w:b/>
          <w:sz w:val="24"/>
          <w:szCs w:val="24"/>
        </w:rPr>
        <w:t>,</w:t>
      </w:r>
    </w:p>
    <w:p w:rsidR="00C22825" w:rsidRPr="00C95260" w:rsidRDefault="00C22825" w:rsidP="00C95260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նոր խմբագրմամբ Կոնվենցիան սահմանում է </w:t>
      </w:r>
      <w:r w:rsidR="00D767E8">
        <w:rPr>
          <w:rFonts w:ascii="GHEA Grapalat" w:hAnsi="GHEA Grapalat" w:cs="Sylfaen"/>
          <w:sz w:val="24"/>
          <w:szCs w:val="24"/>
          <w:lang w:val="hy-AM"/>
        </w:rPr>
        <w:t>նա</w:t>
      </w:r>
      <w:r w:rsidR="00D767E8">
        <w:rPr>
          <w:rFonts w:ascii="GHEA Grapalat" w:hAnsi="GHEA Grapalat" w:cs="Sylfaen"/>
          <w:sz w:val="24"/>
          <w:szCs w:val="24"/>
          <w:lang w:val="en-US"/>
        </w:rPr>
        <w:t>և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 անձնական տվյալների պաշտպանության իրավունքի </w:t>
      </w:r>
      <w:r w:rsidR="00D767E8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այլ իրավունքների, այդ թվում՝ արտահայտվելու ազատության իրավունքի փոխհարաբերությունները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14),</w:t>
      </w:r>
    </w:p>
    <w:p w:rsidR="00C22825" w:rsidRPr="00C95260" w:rsidRDefault="00C22825" w:rsidP="00C95260">
      <w:pPr>
        <w:pStyle w:val="ListParagraph"/>
        <w:numPr>
          <w:ilvl w:val="0"/>
          <w:numId w:val="6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ըստ Կոնվենցիայի նոր խմբագրության անձնական տվյալների պաշտպանության լիազոր մարմինն իրավունք ունի անձնական տվյալների </w:t>
      </w:r>
      <w:r w:rsidRPr="00C9526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պաշտպանության կանոնների խախտման դեպքում կիրառել վարչական (ըստ Արձանագրության տեքստի՝ «ոչ դատական») պատասխանատվության միջոցներ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15),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22825" w:rsidRPr="00C95260" w:rsidRDefault="00C22825" w:rsidP="00C95260">
      <w:pPr>
        <w:pStyle w:val="ListParagraph"/>
        <w:numPr>
          <w:ilvl w:val="0"/>
          <w:numId w:val="6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b/>
          <w:sz w:val="24"/>
          <w:szCs w:val="24"/>
          <w:lang w:val="hy-AM"/>
        </w:rPr>
        <w:t>անձնական տվյալների անդրսահմանային հոսքը.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 նոր խմբագրմամբ Կոնվենցիայով նախատեսվում է, որ կողմ հանդիսացող պետությունը միայն անձնական տվյալների պաշտպանության նպատակներով չի կարող արգելել կամ հատուկ թույլտվության թույլատրել անձնական տվյալների փոխանցումը Կոնվենցիայի անդամ այլ պետություն</w:t>
      </w:r>
      <w:r w:rsidR="00D767E8" w:rsidRPr="00D767E8">
        <w:rPr>
          <w:rFonts w:ascii="GHEA Grapalat" w:hAnsi="GHEA Grapalat" w:cs="Sylfaen"/>
          <w:sz w:val="24"/>
          <w:szCs w:val="24"/>
          <w:lang w:val="hy-AM"/>
        </w:rPr>
        <w:t>, ս</w:t>
      </w:r>
      <w:r w:rsidRPr="00C95260">
        <w:rPr>
          <w:rFonts w:ascii="GHEA Grapalat" w:hAnsi="GHEA Grapalat" w:cs="Sylfaen"/>
          <w:sz w:val="24"/>
          <w:szCs w:val="24"/>
          <w:lang w:val="hy-AM"/>
        </w:rPr>
        <w:t>ակայն պետությունը կարող է արգելել կամ հատուկ թույլտվությամբ թույլատրել տվյալների փոխանցումը այլ անդամ պետություն կամ այլ անդամ պետությունից ոչ անդամ պետություն միայն այն դեպքում, երբ առկա է իրական և լուրջ/էական վտանգ, որ այդպիսի</w:t>
      </w:r>
      <w:r w:rsidR="00C95260" w:rsidRPr="00C952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փոխանցումը կհանգեցնի Կոնվենցիայի դրույթների շրջանցման: Կողմը կարող է արգելել կամ հատուկ թույլտվությամբ թույլատրել տվյալների </w:t>
      </w:r>
      <w:r w:rsidR="00D767E8">
        <w:rPr>
          <w:rFonts w:ascii="GHEA Grapalat" w:hAnsi="GHEA Grapalat" w:cs="Sylfaen"/>
          <w:sz w:val="24"/>
          <w:szCs w:val="24"/>
          <w:lang w:val="hy-AM"/>
        </w:rPr>
        <w:t>փ</w:t>
      </w:r>
      <w:r w:rsidR="00D767E8" w:rsidRPr="00D767E8">
        <w:rPr>
          <w:rFonts w:ascii="GHEA Grapalat" w:hAnsi="GHEA Grapalat" w:cs="Sylfaen"/>
          <w:sz w:val="24"/>
          <w:szCs w:val="24"/>
          <w:lang w:val="hy-AM"/>
        </w:rPr>
        <w:t>ո</w:t>
      </w:r>
      <w:r w:rsidRPr="00C95260">
        <w:rPr>
          <w:rFonts w:ascii="GHEA Grapalat" w:hAnsi="GHEA Grapalat" w:cs="Sylfaen"/>
          <w:sz w:val="24"/>
          <w:szCs w:val="24"/>
          <w:lang w:val="hy-AM"/>
        </w:rPr>
        <w:t>խանցումը, եթե նա պարտավոր է պահպանել միջազգային տարածաշրջանային կազմակերպության անձնական տվյալների</w:t>
      </w:r>
      <w:r w:rsidR="00C95260" w:rsidRPr="00C952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պաշտպանության հարմոնիզացված կանոնները, որին անդամակցում է այդ պետությունը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17),</w:t>
      </w:r>
    </w:p>
    <w:p w:rsidR="00C22825" w:rsidRPr="00C95260" w:rsidRDefault="00C22825" w:rsidP="00C95260">
      <w:pPr>
        <w:pStyle w:val="ListParagraph"/>
        <w:numPr>
          <w:ilvl w:val="0"/>
          <w:numId w:val="6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67E8">
        <w:rPr>
          <w:rFonts w:ascii="GHEA Grapalat" w:hAnsi="GHEA Grapalat" w:cs="Sylfaen"/>
          <w:b/>
          <w:sz w:val="24"/>
          <w:szCs w:val="24"/>
          <w:lang w:val="hy-AM"/>
        </w:rPr>
        <w:t>անդամ պետության անձնական տվյալների պաշտպանության լիազոր մարմնի անկախությունը.</w:t>
      </w: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 նոր խմբագրմամբ Կոնվենցիայի համաձայն՝ Անձնական տվյալների լիազոր մարմին(ներ)ը պետք է իրենց գործառություններն ու լիազորությունները իրականացնեն միանգամայն անկախ և անկողմնակալ և այդ կապակցությամբ չպետք է ընդունեն որևէ միջնորդություններ և ցուցումներ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19 (5)),</w:t>
      </w:r>
    </w:p>
    <w:p w:rsidR="00C22825" w:rsidRPr="00C95260" w:rsidRDefault="00C22825" w:rsidP="00C95260">
      <w:pPr>
        <w:pStyle w:val="ListParagraph"/>
        <w:numPr>
          <w:ilvl w:val="0"/>
          <w:numId w:val="6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յուրաքանչյուր կողմ պետք է նշանակի մեկ կամ մի քանի լիազոր մարմին, որոնց անվանումը և հասցեն, ինչպես նաև յուրաքանչյուրի իրավասությունը ներկայացնի ԵԽ գլխավոր քարտուղարին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21),</w:t>
      </w:r>
    </w:p>
    <w:p w:rsidR="00C22825" w:rsidRPr="00C95260" w:rsidRDefault="00C22825" w:rsidP="00C95260">
      <w:pPr>
        <w:pStyle w:val="ListParagraph"/>
        <w:numPr>
          <w:ilvl w:val="0"/>
          <w:numId w:val="6"/>
        </w:numPr>
        <w:spacing w:after="0"/>
        <w:ind w:left="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260">
        <w:rPr>
          <w:rFonts w:ascii="GHEA Grapalat" w:hAnsi="GHEA Grapalat" w:cs="Sylfaen"/>
          <w:sz w:val="24"/>
          <w:szCs w:val="24"/>
          <w:lang w:val="hy-AM"/>
        </w:rPr>
        <w:t xml:space="preserve">նոր խմբագրմամբ Կոնվենցիայով Կոնվենցիայի հանձնաժողովը իրավունք է ստանում ուսումնասիրել անդամ պետությունների կողմից Կոնվենցիայի պահանջների կատարումը և տալ հանձնարարականներ (recommendations) Կողմին այդ պահանջների չպահպանման դեպքում: Նախկինում Հանձնաժողովը կարող էր ներկայացնել առաջարկություններ (proposals) </w:t>
      </w:r>
      <w:r w:rsidRPr="00C95260">
        <w:rPr>
          <w:rFonts w:ascii="GHEA Grapalat" w:hAnsi="GHEA Grapalat" w:cs="Sylfaen"/>
          <w:b/>
          <w:sz w:val="24"/>
          <w:szCs w:val="24"/>
          <w:lang w:val="hy-AM"/>
        </w:rPr>
        <w:t>(Արձանագրության հոդված 29):</w:t>
      </w:r>
    </w:p>
    <w:p w:rsidR="00C95260" w:rsidRPr="00C95260" w:rsidRDefault="00C22825" w:rsidP="00D575D9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2825">
        <w:rPr>
          <w:rFonts w:ascii="GHEA Grapalat" w:hAnsi="GHEA Grapalat" w:cs="Sylfaen"/>
          <w:sz w:val="24"/>
          <w:szCs w:val="24"/>
          <w:lang w:val="hy-AM"/>
        </w:rPr>
        <w:t xml:space="preserve">Հաշվի առնելով, որ Կոնվենցիայի արդիականացված տարբերակն արտացոլում է անձնական տվյալների պաշտպանության ոլորտում եվրոպական իրավունքի զարգացման տենդենցները՝ </w:t>
      </w:r>
      <w:r w:rsidR="00D767E8" w:rsidRPr="00D767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5260" w:rsidRPr="00D94538">
        <w:rPr>
          <w:rFonts w:ascii="GHEA Grapalat" w:hAnsi="GHEA Grapalat"/>
          <w:sz w:val="24"/>
          <w:szCs w:val="24"/>
          <w:lang w:val="hy-AM"/>
        </w:rPr>
        <w:t>ՀՀ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5260">
        <w:rPr>
          <w:rFonts w:ascii="GHEA Grapalat" w:hAnsi="GHEA Grapalat"/>
          <w:sz w:val="24"/>
          <w:szCs w:val="24"/>
          <w:lang w:val="hy-AM"/>
        </w:rPr>
        <w:t>արդարադատության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5260" w:rsidRPr="00D94538">
        <w:rPr>
          <w:rFonts w:ascii="GHEA Grapalat" w:hAnsi="GHEA Grapalat"/>
          <w:sz w:val="24"/>
          <w:szCs w:val="24"/>
          <w:lang w:val="hy-AM"/>
        </w:rPr>
        <w:t>նախարարությունը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5260" w:rsidRPr="00D94538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5260" w:rsidRPr="00D94538">
        <w:rPr>
          <w:rFonts w:ascii="GHEA Grapalat" w:hAnsi="GHEA Grapalat"/>
          <w:sz w:val="24"/>
          <w:szCs w:val="24"/>
          <w:lang w:val="hy-AM"/>
        </w:rPr>
        <w:t>է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5260" w:rsidRPr="00D94538">
        <w:rPr>
          <w:rFonts w:ascii="GHEA Grapalat" w:hAnsi="GHEA Grapalat"/>
          <w:sz w:val="24"/>
          <w:szCs w:val="24"/>
          <w:lang w:val="hy-AM"/>
        </w:rPr>
        <w:t>գտնում</w:t>
      </w:r>
      <w:r w:rsidR="00C95260" w:rsidRPr="00B75608">
        <w:rPr>
          <w:rFonts w:ascii="GHEA Grapalat" w:hAnsi="GHEA Grapalat"/>
          <w:sz w:val="24"/>
          <w:szCs w:val="24"/>
          <w:lang w:val="af-ZA"/>
        </w:rPr>
        <w:t xml:space="preserve"> </w:t>
      </w:r>
      <w:r w:rsidR="00D767E8" w:rsidRPr="00D767E8">
        <w:rPr>
          <w:rFonts w:ascii="GHEA Grapalat" w:hAnsi="GHEA Grapalat"/>
          <w:sz w:val="24"/>
          <w:szCs w:val="24"/>
          <w:lang w:val="hy-AM"/>
        </w:rPr>
        <w:t>«</w:t>
      </w:r>
      <w:r w:rsidR="00D767E8" w:rsidRPr="00D767E8">
        <w:rPr>
          <w:rFonts w:ascii="GHEA Grapalat" w:hAnsi="GHEA Grapalat" w:cs="Arial"/>
          <w:sz w:val="24"/>
          <w:szCs w:val="24"/>
          <w:lang w:val="hy-AM"/>
        </w:rPr>
        <w:t>Անձ</w:t>
      </w:r>
      <w:r w:rsidR="00D767E8" w:rsidRPr="00D767E8">
        <w:rPr>
          <w:rFonts w:ascii="GHEA Grapalat" w:hAnsi="GHEA Grapalat"/>
          <w:sz w:val="24"/>
          <w:szCs w:val="24"/>
          <w:lang w:val="hy-AM"/>
        </w:rPr>
        <w:t>նական տվյալների ավտոմատացված մշակման դեպքում անհատների պաշտպանության մասին» կոնվենցիան փոփոխող արձանագրության</w:t>
      </w:r>
      <w:r w:rsidR="00D767E8" w:rsidRPr="006E40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33DDD">
        <w:rPr>
          <w:rFonts w:ascii="GHEA Grapalat" w:hAnsi="GHEA Grapalat" w:cs="Sylfaen"/>
          <w:sz w:val="24"/>
          <w:szCs w:val="24"/>
          <w:lang w:val="hy-AM"/>
        </w:rPr>
        <w:t>ստորագրումը:</w:t>
      </w:r>
      <w:bookmarkStart w:id="0" w:name="_GoBack"/>
      <w:bookmarkEnd w:id="0"/>
    </w:p>
    <w:sectPr w:rsidR="00C95260" w:rsidRPr="00C95260" w:rsidSect="00817A88">
      <w:headerReference w:type="default" r:id="rId8"/>
      <w:footerReference w:type="default" r:id="rId9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B1" w:rsidRDefault="007636B1" w:rsidP="00332836">
      <w:pPr>
        <w:spacing w:after="0" w:line="240" w:lineRule="auto"/>
      </w:pPr>
      <w:r>
        <w:separator/>
      </w:r>
    </w:p>
  </w:endnote>
  <w:endnote w:type="continuationSeparator" w:id="0">
    <w:p w:rsidR="007636B1" w:rsidRDefault="007636B1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B57061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575D9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B1" w:rsidRDefault="007636B1" w:rsidP="00332836">
      <w:pPr>
        <w:spacing w:after="0" w:line="240" w:lineRule="auto"/>
      </w:pPr>
      <w:r>
        <w:separator/>
      </w:r>
    </w:p>
  </w:footnote>
  <w:footnote w:type="continuationSeparator" w:id="0">
    <w:p w:rsidR="007636B1" w:rsidRDefault="007636B1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46845"/>
    <w:multiLevelType w:val="hybridMultilevel"/>
    <w:tmpl w:val="DF3ED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F5A"/>
    <w:multiLevelType w:val="hybridMultilevel"/>
    <w:tmpl w:val="6DD06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C74E8C"/>
    <w:multiLevelType w:val="hybridMultilevel"/>
    <w:tmpl w:val="23DAB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4409B"/>
    <w:multiLevelType w:val="multilevel"/>
    <w:tmpl w:val="697C3CD8"/>
    <w:name w:val="parties"/>
    <w:lvl w:ilvl="0">
      <w:start w:val="1"/>
      <w:numFmt w:val="decimal"/>
      <w:pStyle w:val="AATitre1"/>
      <w:lvlText w:val="%1."/>
      <w:lvlJc w:val="left"/>
      <w:pPr>
        <w:tabs>
          <w:tab w:val="num" w:pos="1827"/>
        </w:tabs>
        <w:ind w:left="1827" w:hanging="1134"/>
      </w:pPr>
      <w:rPr>
        <w:rFonts w:ascii="GHEA Grapalat" w:hAnsi="GHEA Grapalat" w:hint="default"/>
        <w:b/>
        <w:i w:val="0"/>
        <w:sz w:val="22"/>
        <w:u w:val="none"/>
      </w:rPr>
    </w:lvl>
    <w:lvl w:ilvl="1">
      <w:start w:val="1"/>
      <w:numFmt w:val="decimal"/>
      <w:pStyle w:val="AATitre2"/>
      <w:lvlText w:val="%1.%2"/>
      <w:lvlJc w:val="left"/>
      <w:pPr>
        <w:tabs>
          <w:tab w:val="num" w:pos="1134"/>
        </w:tabs>
        <w:ind w:left="1134" w:hanging="1134"/>
      </w:pPr>
      <w:rPr>
        <w:rFonts w:ascii="GHEA Grapalat" w:hAnsi="GHEA Grapalat" w:cs="Times New Roman" w:hint="default"/>
        <w:b w:val="0"/>
        <w:i w:val="0"/>
        <w:sz w:val="22"/>
        <w:u w:val="none"/>
      </w:rPr>
    </w:lvl>
    <w:lvl w:ilvl="2">
      <w:start w:val="1"/>
      <w:numFmt w:val="decimal"/>
      <w:pStyle w:val="AATitre3"/>
      <w:lvlText w:val="%1.%2.%3"/>
      <w:lvlJc w:val="left"/>
      <w:pPr>
        <w:tabs>
          <w:tab w:val="num" w:pos="1701"/>
        </w:tabs>
        <w:ind w:left="1701" w:hanging="1134"/>
      </w:pPr>
      <w:rPr>
        <w:rFonts w:ascii="GHEA Grapalat" w:hAnsi="GHEA Grapalat" w:cs="Times New Roman" w:hint="default"/>
        <w:b w:val="0"/>
        <w:i w:val="0"/>
        <w:sz w:val="22"/>
        <w:u w:val="none"/>
        <w:vertAlign w:val="baseline"/>
        <w:lang w:val="en-US"/>
      </w:rPr>
    </w:lvl>
    <w:lvl w:ilvl="3">
      <w:start w:val="1"/>
      <w:numFmt w:val="lowerLetter"/>
      <w:pStyle w:val="AATitre4"/>
      <w:lvlText w:val="(%4)"/>
      <w:lvlJc w:val="left"/>
      <w:pPr>
        <w:tabs>
          <w:tab w:val="num" w:pos="2127"/>
        </w:tabs>
        <w:ind w:left="2127" w:hanging="1134"/>
      </w:pPr>
      <w:rPr>
        <w:rFonts w:hint="default"/>
        <w:b w:val="0"/>
        <w:i w:val="0"/>
        <w:sz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90"/>
        </w:tabs>
        <w:ind w:left="1714" w:hanging="284"/>
      </w:pPr>
      <w:rPr>
        <w:rFonts w:hint="default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45"/>
        </w:tabs>
        <w:ind w:left="184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989"/>
        </w:tabs>
        <w:ind w:left="1989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33"/>
        </w:tabs>
        <w:ind w:left="213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77"/>
        </w:tabs>
        <w:ind w:left="2277" w:hanging="1584"/>
      </w:pPr>
      <w:rPr>
        <w:rFonts w:hint="default"/>
      </w:rPr>
    </w:lvl>
  </w:abstractNum>
  <w:abstractNum w:abstractNumId="5" w15:restartNumberingAfterBreak="0">
    <w:nsid w:val="7987701D"/>
    <w:multiLevelType w:val="hybridMultilevel"/>
    <w:tmpl w:val="A33EF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A88"/>
    <w:rsid w:val="000230EC"/>
    <w:rsid w:val="00032E04"/>
    <w:rsid w:val="00037EEC"/>
    <w:rsid w:val="000724ED"/>
    <w:rsid w:val="0007278D"/>
    <w:rsid w:val="00080D1C"/>
    <w:rsid w:val="00093F60"/>
    <w:rsid w:val="000B56E8"/>
    <w:rsid w:val="00100313"/>
    <w:rsid w:val="0013197A"/>
    <w:rsid w:val="00134644"/>
    <w:rsid w:val="00143E94"/>
    <w:rsid w:val="00152A2D"/>
    <w:rsid w:val="00154D7E"/>
    <w:rsid w:val="00155B6D"/>
    <w:rsid w:val="0015623A"/>
    <w:rsid w:val="0017044C"/>
    <w:rsid w:val="00175240"/>
    <w:rsid w:val="00181810"/>
    <w:rsid w:val="00181948"/>
    <w:rsid w:val="00193C75"/>
    <w:rsid w:val="00196A34"/>
    <w:rsid w:val="001A6275"/>
    <w:rsid w:val="001D4E65"/>
    <w:rsid w:val="001E532A"/>
    <w:rsid w:val="001F1B37"/>
    <w:rsid w:val="00212536"/>
    <w:rsid w:val="00231391"/>
    <w:rsid w:val="00252577"/>
    <w:rsid w:val="00261EDB"/>
    <w:rsid w:val="00271B2D"/>
    <w:rsid w:val="002B1B86"/>
    <w:rsid w:val="002D01F5"/>
    <w:rsid w:val="002D0897"/>
    <w:rsid w:val="002F599E"/>
    <w:rsid w:val="002F6DA5"/>
    <w:rsid w:val="00310B9C"/>
    <w:rsid w:val="00321062"/>
    <w:rsid w:val="00332836"/>
    <w:rsid w:val="003353EF"/>
    <w:rsid w:val="00356965"/>
    <w:rsid w:val="0037690E"/>
    <w:rsid w:val="0038530F"/>
    <w:rsid w:val="00393950"/>
    <w:rsid w:val="003A3CD6"/>
    <w:rsid w:val="003C27A0"/>
    <w:rsid w:val="003C74AF"/>
    <w:rsid w:val="003D51A7"/>
    <w:rsid w:val="003F5E70"/>
    <w:rsid w:val="00433F24"/>
    <w:rsid w:val="004352F9"/>
    <w:rsid w:val="004416E4"/>
    <w:rsid w:val="004468ED"/>
    <w:rsid w:val="00447EE9"/>
    <w:rsid w:val="00462355"/>
    <w:rsid w:val="004745E3"/>
    <w:rsid w:val="004B130F"/>
    <w:rsid w:val="004C3F62"/>
    <w:rsid w:val="004D7777"/>
    <w:rsid w:val="004F7319"/>
    <w:rsid w:val="0050408F"/>
    <w:rsid w:val="0051033A"/>
    <w:rsid w:val="005222B4"/>
    <w:rsid w:val="00537507"/>
    <w:rsid w:val="00552B6F"/>
    <w:rsid w:val="005607BB"/>
    <w:rsid w:val="00577FBD"/>
    <w:rsid w:val="005A2C37"/>
    <w:rsid w:val="005A442D"/>
    <w:rsid w:val="005A7516"/>
    <w:rsid w:val="005B6CEF"/>
    <w:rsid w:val="005D6010"/>
    <w:rsid w:val="005E5A4C"/>
    <w:rsid w:val="005F6B3A"/>
    <w:rsid w:val="00624384"/>
    <w:rsid w:val="00635289"/>
    <w:rsid w:val="00640373"/>
    <w:rsid w:val="00655203"/>
    <w:rsid w:val="00673218"/>
    <w:rsid w:val="0067353C"/>
    <w:rsid w:val="00684663"/>
    <w:rsid w:val="0068474F"/>
    <w:rsid w:val="00690923"/>
    <w:rsid w:val="006A38EF"/>
    <w:rsid w:val="006A7AA5"/>
    <w:rsid w:val="006D679D"/>
    <w:rsid w:val="006D6EA4"/>
    <w:rsid w:val="006F1B13"/>
    <w:rsid w:val="006F7A13"/>
    <w:rsid w:val="00732FC8"/>
    <w:rsid w:val="0074571F"/>
    <w:rsid w:val="00751240"/>
    <w:rsid w:val="00754FDC"/>
    <w:rsid w:val="007636B1"/>
    <w:rsid w:val="007700FE"/>
    <w:rsid w:val="00785C52"/>
    <w:rsid w:val="00792181"/>
    <w:rsid w:val="007B5BFD"/>
    <w:rsid w:val="007C206A"/>
    <w:rsid w:val="00803D0A"/>
    <w:rsid w:val="008106D4"/>
    <w:rsid w:val="00817A88"/>
    <w:rsid w:val="00826A1F"/>
    <w:rsid w:val="00841102"/>
    <w:rsid w:val="008451CD"/>
    <w:rsid w:val="00864278"/>
    <w:rsid w:val="008A71E0"/>
    <w:rsid w:val="008D0BC7"/>
    <w:rsid w:val="008E4AF3"/>
    <w:rsid w:val="00927786"/>
    <w:rsid w:val="00950C2F"/>
    <w:rsid w:val="00962C6A"/>
    <w:rsid w:val="0098208B"/>
    <w:rsid w:val="009830F3"/>
    <w:rsid w:val="00994C7B"/>
    <w:rsid w:val="009B5454"/>
    <w:rsid w:val="009E1376"/>
    <w:rsid w:val="009E39FF"/>
    <w:rsid w:val="00A04968"/>
    <w:rsid w:val="00A14FEF"/>
    <w:rsid w:val="00A26082"/>
    <w:rsid w:val="00A26F7E"/>
    <w:rsid w:val="00A275F1"/>
    <w:rsid w:val="00A46BFA"/>
    <w:rsid w:val="00A65157"/>
    <w:rsid w:val="00A82F67"/>
    <w:rsid w:val="00A850A5"/>
    <w:rsid w:val="00A9461B"/>
    <w:rsid w:val="00AB607E"/>
    <w:rsid w:val="00AC24AE"/>
    <w:rsid w:val="00AD73C1"/>
    <w:rsid w:val="00B24C0D"/>
    <w:rsid w:val="00B453FB"/>
    <w:rsid w:val="00B57061"/>
    <w:rsid w:val="00B57D00"/>
    <w:rsid w:val="00B60083"/>
    <w:rsid w:val="00B6730F"/>
    <w:rsid w:val="00B868D4"/>
    <w:rsid w:val="00BB2D2D"/>
    <w:rsid w:val="00BB759C"/>
    <w:rsid w:val="00BB7BC1"/>
    <w:rsid w:val="00BC2CA9"/>
    <w:rsid w:val="00BC3644"/>
    <w:rsid w:val="00BC4A96"/>
    <w:rsid w:val="00BC7F1F"/>
    <w:rsid w:val="00BD1764"/>
    <w:rsid w:val="00BD1FF5"/>
    <w:rsid w:val="00BE51A4"/>
    <w:rsid w:val="00C12B8F"/>
    <w:rsid w:val="00C16164"/>
    <w:rsid w:val="00C22825"/>
    <w:rsid w:val="00C34DAF"/>
    <w:rsid w:val="00C61315"/>
    <w:rsid w:val="00C62192"/>
    <w:rsid w:val="00C842C8"/>
    <w:rsid w:val="00C845C3"/>
    <w:rsid w:val="00C933F6"/>
    <w:rsid w:val="00C95260"/>
    <w:rsid w:val="00CA36A6"/>
    <w:rsid w:val="00CB7257"/>
    <w:rsid w:val="00D13AFA"/>
    <w:rsid w:val="00D33DDD"/>
    <w:rsid w:val="00D33EF8"/>
    <w:rsid w:val="00D575D9"/>
    <w:rsid w:val="00D75611"/>
    <w:rsid w:val="00D767E8"/>
    <w:rsid w:val="00D84951"/>
    <w:rsid w:val="00D94538"/>
    <w:rsid w:val="00DA1750"/>
    <w:rsid w:val="00DB4282"/>
    <w:rsid w:val="00DE3FFB"/>
    <w:rsid w:val="00E1184D"/>
    <w:rsid w:val="00E12276"/>
    <w:rsid w:val="00E138DE"/>
    <w:rsid w:val="00E168D3"/>
    <w:rsid w:val="00E30E79"/>
    <w:rsid w:val="00E37E79"/>
    <w:rsid w:val="00E566C5"/>
    <w:rsid w:val="00E62348"/>
    <w:rsid w:val="00E642EC"/>
    <w:rsid w:val="00E75F9A"/>
    <w:rsid w:val="00E90394"/>
    <w:rsid w:val="00E913E5"/>
    <w:rsid w:val="00EB0B4C"/>
    <w:rsid w:val="00EB6F4F"/>
    <w:rsid w:val="00EC1C47"/>
    <w:rsid w:val="00EC7C2C"/>
    <w:rsid w:val="00EE5EE8"/>
    <w:rsid w:val="00F15EBB"/>
    <w:rsid w:val="00F344B4"/>
    <w:rsid w:val="00F554CC"/>
    <w:rsid w:val="00F55E71"/>
    <w:rsid w:val="00F6638C"/>
    <w:rsid w:val="00F96D11"/>
    <w:rsid w:val="00FA47DC"/>
    <w:rsid w:val="00FB728D"/>
    <w:rsid w:val="00FD324B"/>
    <w:rsid w:val="00FD4EE1"/>
    <w:rsid w:val="00FE188B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B814B-C13E-458B-9E02-492B1F0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paragraph" w:styleId="Heading6">
    <w:name w:val="heading 6"/>
    <w:aliases w:val="level6,level 6"/>
    <w:basedOn w:val="Normal"/>
    <w:next w:val="Normal"/>
    <w:link w:val="Heading6Char"/>
    <w:qFormat/>
    <w:rsid w:val="00577FBD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iCs/>
      <w:lang w:val="en-GB" w:eastAsia="fr-FR"/>
    </w:rPr>
  </w:style>
  <w:style w:type="paragraph" w:styleId="Heading7">
    <w:name w:val="heading 7"/>
    <w:aliases w:val="level1noheading,level1-noHeading"/>
    <w:basedOn w:val="Normal"/>
    <w:next w:val="Normal"/>
    <w:link w:val="Heading7Char"/>
    <w:qFormat/>
    <w:rsid w:val="00577FBD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val="en-GB" w:eastAsia="fr-FR"/>
    </w:rPr>
  </w:style>
  <w:style w:type="paragraph" w:styleId="Heading8">
    <w:name w:val="heading 8"/>
    <w:aliases w:val="level2(a)"/>
    <w:basedOn w:val="Normal"/>
    <w:next w:val="Normal"/>
    <w:link w:val="Heading8Char"/>
    <w:qFormat/>
    <w:rsid w:val="00577FBD"/>
    <w:pPr>
      <w:keepNext/>
      <w:widowControl w:val="0"/>
      <w:numPr>
        <w:ilvl w:val="7"/>
        <w:numId w:val="2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u w:val="single"/>
      <w:lang w:val="en-GB" w:eastAsia="fr-FR"/>
    </w:rPr>
  </w:style>
  <w:style w:type="paragraph" w:styleId="Heading9">
    <w:name w:val="heading 9"/>
    <w:aliases w:val="level3(i)"/>
    <w:basedOn w:val="Normal"/>
    <w:next w:val="Normal"/>
    <w:link w:val="Heading9Char"/>
    <w:qFormat/>
    <w:rsid w:val="00577FBD"/>
    <w:pPr>
      <w:numPr>
        <w:ilvl w:val="8"/>
        <w:numId w:val="2"/>
      </w:numPr>
      <w:tabs>
        <w:tab w:val="clear" w:pos="2277"/>
      </w:tabs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character" w:customStyle="1" w:styleId="Heading6Char">
    <w:name w:val="Heading 6 Char"/>
    <w:aliases w:val="level6 Char,level 6 Char"/>
    <w:basedOn w:val="DefaultParagraphFont"/>
    <w:link w:val="Heading6"/>
    <w:rsid w:val="00577FBD"/>
    <w:rPr>
      <w:rFonts w:ascii="Times New Roman" w:eastAsia="Times New Roman" w:hAnsi="Times New Roman" w:cs="Times New Roman"/>
      <w:i/>
      <w:iCs/>
      <w:lang w:val="en-GB" w:eastAsia="fr-FR"/>
    </w:rPr>
  </w:style>
  <w:style w:type="character" w:customStyle="1" w:styleId="Heading7Char">
    <w:name w:val="Heading 7 Char"/>
    <w:aliases w:val="level1noheading Char,level1-noHeading Char"/>
    <w:basedOn w:val="DefaultParagraphFont"/>
    <w:link w:val="Heading7"/>
    <w:rsid w:val="00577FBD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Heading8Char">
    <w:name w:val="Heading 8 Char"/>
    <w:aliases w:val="level2(a) Char"/>
    <w:basedOn w:val="DefaultParagraphFont"/>
    <w:link w:val="Heading8"/>
    <w:rsid w:val="00577FBD"/>
    <w:rPr>
      <w:rFonts w:ascii="Arial" w:eastAsia="Times New Roman" w:hAnsi="Arial" w:cs="Arial"/>
      <w:b/>
      <w:bCs/>
      <w:u w:val="single"/>
      <w:lang w:val="en-GB" w:eastAsia="fr-FR"/>
    </w:rPr>
  </w:style>
  <w:style w:type="character" w:customStyle="1" w:styleId="Heading9Char">
    <w:name w:val="Heading 9 Char"/>
    <w:aliases w:val="level3(i) Char"/>
    <w:basedOn w:val="DefaultParagraphFont"/>
    <w:link w:val="Heading9"/>
    <w:rsid w:val="00577FBD"/>
    <w:rPr>
      <w:rFonts w:ascii="Arial" w:eastAsia="Times New Roman" w:hAnsi="Arial" w:cs="Arial"/>
      <w:b/>
      <w:bCs/>
      <w:i/>
      <w:iCs/>
      <w:sz w:val="18"/>
      <w:szCs w:val="18"/>
      <w:lang w:val="en-GB" w:eastAsia="fr-FR"/>
    </w:rPr>
  </w:style>
  <w:style w:type="paragraph" w:customStyle="1" w:styleId="AATitre4">
    <w:name w:val="AA Titre 4"/>
    <w:basedOn w:val="Normal"/>
    <w:rsid w:val="00577FBD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/>
      <w:szCs w:val="20"/>
      <w:lang w:val="en-GB" w:eastAsia="fr-FR"/>
    </w:rPr>
  </w:style>
  <w:style w:type="paragraph" w:customStyle="1" w:styleId="AATitre1">
    <w:name w:val="AA Titre 1"/>
    <w:basedOn w:val="Normal"/>
    <w:autoRedefine/>
    <w:rsid w:val="00577FBD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 Gras" w:eastAsia="Times New Roman" w:hAnsi="Times New Roman Gras"/>
      <w:b/>
      <w:caps/>
      <w:szCs w:val="20"/>
      <w:lang w:val="fr-FR" w:eastAsia="fr-FR"/>
    </w:rPr>
  </w:style>
  <w:style w:type="paragraph" w:customStyle="1" w:styleId="AATitre2">
    <w:name w:val="AA Titre 2"/>
    <w:basedOn w:val="Normal"/>
    <w:rsid w:val="00577FBD"/>
    <w:pPr>
      <w:keepNext/>
      <w:numPr>
        <w:ilvl w:val="1"/>
        <w:numId w:val="2"/>
      </w:numPr>
      <w:tabs>
        <w:tab w:val="clear" w:pos="1134"/>
        <w:tab w:val="num" w:pos="1394"/>
      </w:tabs>
      <w:spacing w:after="240" w:line="240" w:lineRule="auto"/>
      <w:ind w:left="1394"/>
      <w:jc w:val="both"/>
      <w:outlineLvl w:val="1"/>
    </w:pPr>
    <w:rPr>
      <w:rFonts w:ascii="Times New Roman" w:eastAsia="Times New Roman" w:hAnsi="Times New Roman"/>
      <w:szCs w:val="20"/>
      <w:lang w:val="fr-FR" w:eastAsia="fr-FR"/>
    </w:rPr>
  </w:style>
  <w:style w:type="paragraph" w:customStyle="1" w:styleId="AATitre3">
    <w:name w:val="AA Titre 3"/>
    <w:basedOn w:val="Normal"/>
    <w:rsid w:val="00577FBD"/>
    <w:pPr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Doctxt1">
    <w:name w:val="Doctxt1"/>
    <w:rsid w:val="00577FBD"/>
    <w:pPr>
      <w:spacing w:after="240" w:line="240" w:lineRule="auto"/>
      <w:ind w:left="567"/>
      <w:jc w:val="both"/>
    </w:pPr>
    <w:rPr>
      <w:rFonts w:ascii="Times New Roman" w:eastAsia="Calibri" w:hAnsi="Times New Roman" w:cs="Times New Roman"/>
    </w:rPr>
  </w:style>
  <w:style w:type="character" w:customStyle="1" w:styleId="apple-converted-space">
    <w:name w:val="apple-converted-space"/>
    <w:basedOn w:val="DefaultParagraphFont"/>
    <w:rsid w:val="00D84951"/>
  </w:style>
  <w:style w:type="character" w:styleId="Strong">
    <w:name w:val="Strong"/>
    <w:basedOn w:val="DefaultParagraphFont"/>
    <w:uiPriority w:val="22"/>
    <w:qFormat/>
    <w:rsid w:val="00C2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4363-8558-41ED-9D45-85DD1F7F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A-Rshtuni</dc:creator>
  <cp:keywords>https://mul2.gov.am/tasks/115444/oneclick/npatakaharmarutyun.docx?token=eaba6cc2b19b78eb5733e8ed1bf839c4</cp:keywords>
  <cp:lastModifiedBy>Anahit Voskanyan</cp:lastModifiedBy>
  <cp:revision>135</cp:revision>
  <cp:lastPrinted>2019-01-16T08:41:00Z</cp:lastPrinted>
  <dcterms:created xsi:type="dcterms:W3CDTF">2017-12-18T11:31:00Z</dcterms:created>
  <dcterms:modified xsi:type="dcterms:W3CDTF">2019-08-23T11:35:00Z</dcterms:modified>
</cp:coreProperties>
</file>