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6B" w:rsidRPr="00BC430D" w:rsidRDefault="0011196B" w:rsidP="0080214C">
      <w:pPr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bookmarkStart w:id="0" w:name="_GoBack"/>
      <w:bookmarkEnd w:id="0"/>
      <w:r w:rsidRPr="00BC430D">
        <w:rPr>
          <w:rFonts w:ascii="GHEA Grapalat" w:hAnsi="GHEA Grapalat"/>
          <w:b/>
          <w:snapToGrid w:val="0"/>
          <w:sz w:val="24"/>
          <w:szCs w:val="24"/>
        </w:rPr>
        <w:t>ՖԻՆԱՆՍԱՎՈՐՄԱՆ ՀԱՄԱՁԱՅՆԱԳԻՐ</w:t>
      </w:r>
    </w:p>
    <w:p w:rsidR="0011196B" w:rsidRPr="00BC430D" w:rsidRDefault="0011196B" w:rsidP="0080214C">
      <w:pPr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  <w:lang w:val="en-US"/>
        </w:rPr>
      </w:pPr>
    </w:p>
    <w:p w:rsidR="0011196B" w:rsidRPr="00BC430D" w:rsidRDefault="0011196B" w:rsidP="0080214C">
      <w:pPr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>ՀԱՏՈՒԿ ՊԱՅՄԱՆՆԵՐ</w:t>
      </w:r>
    </w:p>
    <w:p w:rsidR="0011196B" w:rsidRPr="00BC430D" w:rsidRDefault="0011196B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80214C" w:rsidRPr="00BC430D" w:rsidRDefault="0011196B" w:rsidP="00BC430D">
      <w:pPr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 xml:space="preserve">Եվրոպական հանձնաժողովը, </w:t>
      </w:r>
      <w:r w:rsidRPr="00BC430D">
        <w:rPr>
          <w:rFonts w:ascii="GHEA Grapalat" w:hAnsi="GHEA Grapalat"/>
          <w:b/>
          <w:snapToGrid w:val="0"/>
          <w:sz w:val="24"/>
          <w:szCs w:val="24"/>
        </w:rPr>
        <w:t>այսուհետ` Հանձնաժողով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, ի դեմս Եվրոպական Միության, այսուհետ` </w:t>
      </w:r>
      <w:r w:rsidRPr="00BC430D">
        <w:rPr>
          <w:rFonts w:ascii="GHEA Grapalat" w:hAnsi="GHEA Grapalat"/>
          <w:b/>
          <w:snapToGrid w:val="0"/>
          <w:sz w:val="24"/>
          <w:szCs w:val="24"/>
        </w:rPr>
        <w:t>ԵՄ</w:t>
      </w:r>
      <w:r w:rsidRPr="00BC430D">
        <w:rPr>
          <w:rFonts w:ascii="GHEA Grapalat" w:hAnsi="GHEA Grapalat"/>
          <w:snapToGrid w:val="0"/>
          <w:sz w:val="24"/>
          <w:szCs w:val="24"/>
        </w:rPr>
        <w:t>,</w:t>
      </w:r>
    </w:p>
    <w:p w:rsidR="0011196B" w:rsidRPr="00BC430D" w:rsidRDefault="0011196B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 xml:space="preserve">մի կողմից, 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</w:p>
    <w:p w:rsidR="0080214C" w:rsidRPr="00BC430D" w:rsidRDefault="00320B97" w:rsidP="00BC430D">
      <w:pPr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8462E4">
        <w:rPr>
          <w:rFonts w:ascii="GHEA Grapalat" w:hAnsi="GHEA Grapalat"/>
          <w:snapToGrid w:val="0"/>
          <w:sz w:val="24"/>
          <w:szCs w:val="24"/>
        </w:rPr>
        <w:t>Հայաստանի Հանրապետության կառավարությունը,</w:t>
      </w:r>
      <w:r w:rsidRPr="00BC430D">
        <w:rPr>
          <w:rFonts w:ascii="GHEA Grapalat" w:hAnsi="GHEA Grapalat"/>
          <w:b/>
          <w:snapToGrid w:val="0"/>
          <w:sz w:val="24"/>
          <w:szCs w:val="24"/>
        </w:rPr>
        <w:t xml:space="preserve"> այսուհետ՝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</w:t>
      </w:r>
      <w:r w:rsidRPr="00BC430D">
        <w:rPr>
          <w:rFonts w:ascii="GHEA Grapalat" w:hAnsi="GHEA Grapalat"/>
          <w:b/>
          <w:snapToGrid w:val="0"/>
          <w:sz w:val="24"/>
          <w:szCs w:val="24"/>
        </w:rPr>
        <w:t>Գործընկեր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, ի դեմս Տնտեսական զարգացման 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ներդրումների նախարարության,</w:t>
      </w:r>
    </w:p>
    <w:p w:rsidR="0011196B" w:rsidRPr="00BC430D" w:rsidRDefault="00D10E08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z w:val="24"/>
          <w:szCs w:val="24"/>
        </w:rPr>
        <w:t>մյուս կողմից,</w:t>
      </w:r>
    </w:p>
    <w:p w:rsidR="0011196B" w:rsidRPr="00BC430D" w:rsidRDefault="0011196B" w:rsidP="00BC430D">
      <w:pPr>
        <w:widowControl w:val="0"/>
        <w:spacing w:after="160" w:line="360" w:lineRule="auto"/>
        <w:ind w:firstLine="567"/>
        <w:jc w:val="both"/>
        <w:outlineLvl w:val="0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համաձայնեցին հետ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>յալի վերաբերյալ.</w:t>
      </w:r>
    </w:p>
    <w:p w:rsidR="00D236D0" w:rsidRPr="00BC430D" w:rsidRDefault="00D236D0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p w:rsidR="0080214C" w:rsidRPr="00BC430D" w:rsidRDefault="0011196B" w:rsidP="00BC430D">
      <w:pPr>
        <w:spacing w:after="160" w:line="360" w:lineRule="auto"/>
        <w:ind w:firstLine="567"/>
        <w:jc w:val="both"/>
        <w:rPr>
          <w:rFonts w:ascii="GHEA Grapalat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>Հոդված 1. Գործողության բնույթը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1.1.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ԵՄ-ն համաձայնում է ֆինանսավորել, իսկ Գործընկերը համաձայնում է ընդունել այդ ֆինանսավորումը՝ հետեւյալ գործողության մասով՝</w:t>
      </w:r>
    </w:p>
    <w:p w:rsidR="0080214C" w:rsidRPr="00BC430D" w:rsidRDefault="00A45507" w:rsidP="00BC430D">
      <w:pPr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«ԵՄ-</w:t>
      </w:r>
      <w:r w:rsidR="00657487" w:rsidRPr="00BC430D">
        <w:rPr>
          <w:rFonts w:ascii="GHEA Grapalat" w:hAnsi="GHEA Grapalat"/>
          <w:snapToGrid w:val="0"/>
          <w:sz w:val="24"/>
          <w:szCs w:val="24"/>
        </w:rPr>
        <w:t>ն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քաղաքացիների համար»՝ «Հայաստանում ժողովրդավարության ամրապնդում»</w:t>
      </w:r>
    </w:p>
    <w:p w:rsidR="00A45507" w:rsidRPr="00BC430D" w:rsidRDefault="00A45507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CRIS համար՝ 2018/041-608</w:t>
      </w:r>
    </w:p>
    <w:p w:rsidR="0011196B" w:rsidRPr="00BC430D" w:rsidRDefault="0011196B" w:rsidP="00BC430D">
      <w:pPr>
        <w:spacing w:after="160" w:line="360" w:lineRule="auto"/>
        <w:ind w:firstLine="567"/>
        <w:jc w:val="both"/>
        <w:outlineLvl w:val="0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z w:val="24"/>
          <w:szCs w:val="24"/>
        </w:rPr>
        <w:t>Սույն գործողությունը ֆինանսավորվում է ԵՄ բյուջեից՝ հիմնական ակտ հանդիսացող Եվրոպական հարեւանության գործիքին համապատասխան։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outlineLvl w:val="0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1.2.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Սույն գործողության գնահատված ընդհանուր արժեքը կազմում է 8,04 մլն եվրո, իսկ սույն գործողության մասով ԵՄ օժանդակության առավելագույն չափը 7,5 մլն եվրո է։</w:t>
      </w:r>
    </w:p>
    <w:p w:rsidR="006F341E" w:rsidRPr="00BC430D" w:rsidRDefault="0011196B" w:rsidP="008462E4">
      <w:pPr>
        <w:tabs>
          <w:tab w:val="left" w:pos="1134"/>
        </w:tabs>
        <w:spacing w:after="160" w:line="355" w:lineRule="auto"/>
        <w:ind w:firstLine="567"/>
        <w:jc w:val="both"/>
        <w:outlineLvl w:val="0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lastRenderedPageBreak/>
        <w:t>1.3.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Գործընկերը չի համաֆինանսավորում գործողությունը։ Գործողության կամընտիր բաղադրիչը համաֆինանսավորվում է միաժամանակ Միացյալ Թագավորության, Գերմանիայի, Շվեդիայի 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Հայաստանի Հանրապետության կառավարության կողմից։ Այս ֆինանսական օժանդակության բացվածքը ներկայացված է I հավելվածում (Տեխնիկական 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վարչական դրույթներ)։</w:t>
      </w:r>
    </w:p>
    <w:p w:rsidR="008462E4" w:rsidRPr="00BF2EF8" w:rsidRDefault="008462E4" w:rsidP="008462E4">
      <w:pPr>
        <w:spacing w:after="160" w:line="355" w:lineRule="auto"/>
        <w:ind w:firstLine="567"/>
        <w:jc w:val="both"/>
        <w:outlineLvl w:val="0"/>
        <w:rPr>
          <w:rFonts w:ascii="GHEA Grapalat" w:hAnsi="GHEA Grapalat"/>
          <w:b/>
          <w:snapToGrid w:val="0"/>
          <w:sz w:val="24"/>
          <w:szCs w:val="24"/>
        </w:rPr>
      </w:pPr>
    </w:p>
    <w:p w:rsidR="0011196B" w:rsidRPr="00BC430D" w:rsidRDefault="0011196B" w:rsidP="008462E4">
      <w:pPr>
        <w:spacing w:after="160" w:line="355" w:lineRule="auto"/>
        <w:ind w:firstLine="567"/>
        <w:jc w:val="both"/>
        <w:outlineLvl w:val="0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>Հոդված 2. Կատարման ժամկետը</w:t>
      </w:r>
    </w:p>
    <w:p w:rsidR="0011196B" w:rsidRPr="00BC430D" w:rsidRDefault="0011196B" w:rsidP="008462E4">
      <w:pPr>
        <w:tabs>
          <w:tab w:val="left" w:pos="1134"/>
        </w:tabs>
        <w:spacing w:after="160" w:line="355" w:lineRule="auto"/>
        <w:ind w:firstLine="567"/>
        <w:jc w:val="both"/>
        <w:outlineLvl w:val="0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2.1.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Սույն Ֆինանսավորման համաձայնագրի՝ II հավելվածի (Ընդհանուր պայմաններ) 15-րդ հոդվածով սահմանված կատարման ժամկետն սկսվում է սույն Ֆինանսավորման համաձայնագիրն ուժի մեջ մտնելու պահից եւ ավարտվում այդ օրվանից </w:t>
      </w:r>
      <w:r w:rsidRPr="00BC430D">
        <w:rPr>
          <w:rFonts w:ascii="GHEA Grapalat" w:hAnsi="GHEA Grapalat"/>
          <w:sz w:val="24"/>
          <w:szCs w:val="24"/>
        </w:rPr>
        <w:t>84 ամիս անց:</w:t>
      </w:r>
    </w:p>
    <w:p w:rsidR="0011196B" w:rsidRPr="00BC430D" w:rsidRDefault="0011196B" w:rsidP="008462E4">
      <w:pPr>
        <w:tabs>
          <w:tab w:val="left" w:pos="1134"/>
        </w:tabs>
        <w:spacing w:after="160" w:line="355" w:lineRule="auto"/>
        <w:ind w:firstLine="567"/>
        <w:jc w:val="both"/>
        <w:outlineLvl w:val="0"/>
        <w:rPr>
          <w:rFonts w:ascii="GHEA Grapalat" w:hAnsi="GHEA Grapalat"/>
          <w:b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2.2.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Իրականացման ժամկետի տ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>ողությունը 60 ամիս է:</w:t>
      </w:r>
    </w:p>
    <w:p w:rsidR="0011196B" w:rsidRPr="00BC430D" w:rsidRDefault="0011196B" w:rsidP="008462E4">
      <w:pPr>
        <w:tabs>
          <w:tab w:val="left" w:pos="1134"/>
        </w:tabs>
        <w:spacing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2.3.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Ավարտական ժամկետի տեւողությունը 24 ամիս է:</w:t>
      </w:r>
    </w:p>
    <w:p w:rsidR="008462E4" w:rsidRPr="00BF2EF8" w:rsidRDefault="008462E4" w:rsidP="008462E4">
      <w:pPr>
        <w:spacing w:after="160" w:line="355" w:lineRule="auto"/>
        <w:ind w:firstLine="567"/>
        <w:jc w:val="both"/>
        <w:rPr>
          <w:rFonts w:ascii="GHEA Grapalat" w:hAnsi="GHEA Grapalat"/>
          <w:b/>
          <w:snapToGrid w:val="0"/>
          <w:sz w:val="24"/>
          <w:szCs w:val="24"/>
        </w:rPr>
      </w:pPr>
    </w:p>
    <w:p w:rsidR="0011196B" w:rsidRPr="00BC430D" w:rsidRDefault="008462E4" w:rsidP="008462E4">
      <w:pPr>
        <w:spacing w:after="160" w:line="355" w:lineRule="auto"/>
        <w:ind w:firstLine="567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 xml:space="preserve">Հոդված </w:t>
      </w:r>
      <w:r w:rsidR="0011196B" w:rsidRPr="00BC430D">
        <w:rPr>
          <w:rFonts w:ascii="GHEA Grapalat" w:hAnsi="GHEA Grapalat"/>
          <w:b/>
          <w:snapToGrid w:val="0"/>
          <w:sz w:val="24"/>
          <w:szCs w:val="24"/>
        </w:rPr>
        <w:t>3. Հասցեները</w:t>
      </w:r>
    </w:p>
    <w:p w:rsidR="0011196B" w:rsidRPr="00BC430D" w:rsidRDefault="0011196B" w:rsidP="008462E4">
      <w:pPr>
        <w:spacing w:after="160" w:line="355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Ֆինանսավորման համաձայնագրի իրականացմանը վերաբերող բոլոր հաղորդումները կազմվում են գրավոր, պարունակում են հստակ հղում սույն Հատուկ պայմանների 1.1 հոդվածով սահմանված այս գործողությանը եւ ուղարկվում են հետեւյալ հասցեներով՝</w:t>
      </w:r>
    </w:p>
    <w:p w:rsidR="0011196B" w:rsidRPr="00BC430D" w:rsidRDefault="00D236D0" w:rsidP="008462E4">
      <w:pPr>
        <w:tabs>
          <w:tab w:val="left" w:pos="375"/>
          <w:tab w:val="left" w:pos="1134"/>
        </w:tabs>
        <w:spacing w:after="160" w:line="355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ա)</w:t>
      </w:r>
      <w:r w:rsidR="008462E4" w:rsidRPr="00BF2EF8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b/>
          <w:snapToGrid w:val="0"/>
          <w:sz w:val="24"/>
          <w:szCs w:val="24"/>
        </w:rPr>
        <w:t>Հանձնաժողովի դեպքում՝</w:t>
      </w:r>
    </w:p>
    <w:p w:rsidR="008948E7" w:rsidRPr="00BC430D" w:rsidRDefault="0096609A" w:rsidP="008462E4">
      <w:pPr>
        <w:spacing w:after="160" w:line="355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Հայաստանում Եվրոպական միության պատվիրակություն</w:t>
      </w:r>
    </w:p>
    <w:p w:rsidR="0080214C" w:rsidRPr="00BC430D" w:rsidRDefault="008948E7" w:rsidP="008462E4">
      <w:pPr>
        <w:spacing w:after="160" w:line="355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Ֆրիկի 21,</w:t>
      </w:r>
    </w:p>
    <w:p w:rsidR="0080214C" w:rsidRPr="00BC430D" w:rsidRDefault="008948E7" w:rsidP="008462E4">
      <w:pPr>
        <w:spacing w:after="160" w:line="355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0002 ք. Եր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>ան,</w:t>
      </w:r>
    </w:p>
    <w:p w:rsidR="008948E7" w:rsidRPr="00BC430D" w:rsidRDefault="00E75CFC" w:rsidP="008462E4">
      <w:pPr>
        <w:spacing w:after="160" w:line="355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Հայաստանի Հանրապետություն</w:t>
      </w:r>
    </w:p>
    <w:p w:rsidR="0080214C" w:rsidRPr="00BC430D" w:rsidRDefault="00E75CFC" w:rsidP="008462E4">
      <w:pPr>
        <w:spacing w:after="160" w:line="355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lastRenderedPageBreak/>
        <w:t xml:space="preserve">Էլ. փոստ՝ Delegation-Armenia@eeas.europa.eu  </w:t>
      </w:r>
    </w:p>
    <w:p w:rsidR="0011196B" w:rsidRPr="00BC430D" w:rsidRDefault="00D236D0" w:rsidP="008462E4">
      <w:pPr>
        <w:tabs>
          <w:tab w:val="left" w:pos="375"/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բ)</w:t>
      </w:r>
      <w:r w:rsidR="008462E4" w:rsidRPr="00BF2EF8">
        <w:rPr>
          <w:rFonts w:ascii="GHEA Grapalat" w:hAnsi="GHEA Grapalat"/>
          <w:snapToGrid w:val="0"/>
          <w:sz w:val="24"/>
          <w:szCs w:val="24"/>
        </w:rPr>
        <w:tab/>
      </w:r>
      <w:r w:rsidRPr="00BC430D">
        <w:rPr>
          <w:rFonts w:ascii="GHEA Grapalat" w:hAnsi="GHEA Grapalat"/>
          <w:b/>
          <w:snapToGrid w:val="0"/>
          <w:sz w:val="24"/>
          <w:szCs w:val="24"/>
        </w:rPr>
        <w:t>Գործընկերոջ դեպքում՝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 xml:space="preserve">Հայաստանի Հանրապետության տնտեսական զարգացման 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ներդրումների նախարար</w:t>
      </w:r>
    </w:p>
    <w:p w:rsidR="0080214C" w:rsidRPr="00BC430D" w:rsidRDefault="003318D2" w:rsidP="00BC430D">
      <w:pPr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Մ. Մկրտչյան 5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0010 ք. Եր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>ան, Հայաստան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secretariat@mineconomy.am Հեռ.՝ +374 11 59-71-10</w:t>
      </w:r>
    </w:p>
    <w:p w:rsidR="003318D2" w:rsidRPr="00BC430D" w:rsidRDefault="003318D2" w:rsidP="00BC430D">
      <w:pPr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p w:rsidR="0011196B" w:rsidRPr="00BC430D" w:rsidRDefault="0011196B" w:rsidP="00BC430D">
      <w:pPr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>Հոդված 4. ԽՊԵԳ</w:t>
      </w:r>
      <w:r w:rsidR="008462E4" w:rsidRPr="00BF2EF8">
        <w:rPr>
          <w:rFonts w:ascii="GHEA Grapalat" w:hAnsi="GHEA Grapalat"/>
          <w:b/>
          <w:snapToGrid w:val="0"/>
          <w:sz w:val="24"/>
          <w:szCs w:val="24"/>
        </w:rPr>
        <w:t>-</w:t>
      </w:r>
      <w:r w:rsidRPr="00BC430D">
        <w:rPr>
          <w:rFonts w:ascii="GHEA Grapalat" w:hAnsi="GHEA Grapalat"/>
          <w:b/>
          <w:snapToGrid w:val="0"/>
          <w:sz w:val="24"/>
          <w:szCs w:val="24"/>
        </w:rPr>
        <w:t>ի համակարգողը</w:t>
      </w:r>
    </w:p>
    <w:p w:rsidR="0080214C" w:rsidRPr="00BC430D" w:rsidRDefault="0011196B" w:rsidP="00BC430D">
      <w:pPr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Խարդախության դեմ պայքարի եվրոպական գրասենյակի (ԽՊԵԳ) ընթացիկ գործունեությանն աջակցելու նպատակով ԽՊԵԳ-ի հետ անմիջականորեն համագործակցելու համար համապատասխան լիազորություններ ունեցող՝ Գործընկերոջ համակարգողն է՝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Հայաստանի Հանրապետության հաշվեքննիչ պալատ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Մարշալ Բաղրամյան 19,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0019 ք. Եր</w:t>
      </w:r>
      <w:r w:rsidR="007626C1" w:rsidRPr="00BC430D">
        <w:rPr>
          <w:rFonts w:ascii="GHEA Grapalat" w:hAnsi="GHEA Grapalat"/>
          <w:snapToGrid w:val="0"/>
          <w:sz w:val="24"/>
          <w:szCs w:val="24"/>
        </w:rPr>
        <w:t>եւ</w:t>
      </w:r>
      <w:r w:rsidRPr="00BC430D">
        <w:rPr>
          <w:rFonts w:ascii="GHEA Grapalat" w:hAnsi="GHEA Grapalat"/>
          <w:snapToGrid w:val="0"/>
          <w:sz w:val="24"/>
          <w:szCs w:val="24"/>
        </w:rPr>
        <w:t>ան, Հայաստանի Հանրապետություն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Էլ. փոստ՝ intrel@armsai.am</w:t>
      </w:r>
    </w:p>
    <w:p w:rsidR="003318D2" w:rsidRPr="00BC430D" w:rsidRDefault="003318D2" w:rsidP="00BC430D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11196B" w:rsidRPr="00BC430D" w:rsidRDefault="0011196B" w:rsidP="00BC430D">
      <w:pPr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>Հոդված 5. Հավելվածները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5.1.</w:t>
      </w:r>
      <w:r w:rsidRPr="00BC430D">
        <w:rPr>
          <w:rFonts w:ascii="GHEA Grapalat" w:hAnsi="GHEA Grapalat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Սույն Ֆինանսավորման համաձայնագիրը կազմված է՝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ա)</w:t>
      </w:r>
      <w:r w:rsidR="008462E4" w:rsidRPr="00BF2EF8">
        <w:rPr>
          <w:rFonts w:ascii="GHEA Grapalat" w:hAnsi="GHEA Grapalat"/>
          <w:snapToGrid w:val="0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սույն Հատուկ պայմաններից.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բ)</w:t>
      </w:r>
      <w:r w:rsidR="008462E4" w:rsidRPr="00BF2EF8">
        <w:rPr>
          <w:rFonts w:ascii="GHEA Grapalat" w:hAnsi="GHEA Grapalat"/>
          <w:snapToGrid w:val="0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I հավելվածից՝ Տեխնիկական եւ վարչական դրույթներ, որոնցում մանրամասնորեն ներկայացված են սույն գործողության նպատակները, </w:t>
      </w:r>
      <w:r w:rsidRPr="00BC430D">
        <w:rPr>
          <w:rFonts w:ascii="GHEA Grapalat" w:hAnsi="GHEA Grapalat"/>
          <w:snapToGrid w:val="0"/>
          <w:sz w:val="24"/>
          <w:szCs w:val="24"/>
        </w:rPr>
        <w:lastRenderedPageBreak/>
        <w:t>ակնկալվող արդյունքները, աշխատանքները, բյուջեի կատարման մասով առաջադրված խնդիրների նկարագրությունը եւ բյուջեն.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գ)</w:t>
      </w:r>
      <w:r w:rsidR="008462E4" w:rsidRPr="00BF2EF8">
        <w:rPr>
          <w:rFonts w:ascii="GHEA Grapalat" w:hAnsi="GHEA Grapalat"/>
          <w:snapToGrid w:val="0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II հավելվածից՝ Ընդհանուր պայմաններ.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դ)</w:t>
      </w:r>
      <w:r w:rsidR="008462E4" w:rsidRPr="00BF2EF8">
        <w:rPr>
          <w:rFonts w:ascii="GHEA Grapalat" w:hAnsi="GHEA Grapalat"/>
          <w:snapToGrid w:val="0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III հավելվածից՝ Հաշվետվության ձեւանմուշ, որը կիրառելի չէ սույն Ֆինանսավորման համաձայնագրի համար եւ չի ներառվում դրանում.</w:t>
      </w:r>
    </w:p>
    <w:p w:rsidR="0080214C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ե)</w:t>
      </w:r>
      <w:r w:rsidR="008462E4" w:rsidRPr="00BF2EF8">
        <w:rPr>
          <w:rFonts w:ascii="GHEA Grapalat" w:hAnsi="GHEA Grapalat"/>
          <w:snapToGrid w:val="0"/>
          <w:sz w:val="24"/>
          <w:szCs w:val="24"/>
        </w:rPr>
        <w:tab/>
      </w:r>
      <w:r w:rsidRPr="00BC430D">
        <w:rPr>
          <w:rFonts w:ascii="GHEA Grapalat" w:hAnsi="GHEA Grapalat"/>
          <w:snapToGrid w:val="0"/>
          <w:sz w:val="24"/>
          <w:szCs w:val="24"/>
        </w:rPr>
        <w:t>IV հավելվածից՝ Կառավարման հայտարարագրի ձեւանմուշ, որը կիրառելի չէ սույն Ֆինանսավորման համաձայնագրի համար եւ չի ներառվում դրանում։</w:t>
      </w:r>
    </w:p>
    <w:p w:rsidR="0011196B" w:rsidRPr="00BC430D" w:rsidRDefault="0011196B" w:rsidP="008462E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z w:val="24"/>
          <w:szCs w:val="24"/>
        </w:rPr>
        <w:t>5.2.</w:t>
      </w:r>
      <w:r w:rsidRPr="00BC430D">
        <w:rPr>
          <w:rFonts w:ascii="GHEA Grapalat" w:hAnsi="GHEA Grapalat"/>
          <w:sz w:val="24"/>
          <w:szCs w:val="24"/>
        </w:rPr>
        <w:tab/>
        <w:t>Մի կողմից՝ հավելվածների դրույթների, իսկ մյուս կողմից՝ սույն Հատուկ պայմանների դրույթների միջեւ հակասության դեպքում կիրառվում են սույն Հատուկ պայմանների դրույթները: Մի կողմից՝ I հավելվածի (Տեխնիկական եւ վարչական դրույթներ) դրույթների եւ մյուս կողմից՝ II հավելվածի (Ընդհանուր դրույթներ) դրույթների միջեւ հակասության դեպքում կիրառվում են II հավելվածի դրույթները:</w:t>
      </w:r>
    </w:p>
    <w:p w:rsidR="000026E4" w:rsidRPr="00BC430D" w:rsidRDefault="000026E4" w:rsidP="00BC430D">
      <w:pPr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p w:rsidR="0011196B" w:rsidRPr="00BC430D" w:rsidRDefault="0011196B" w:rsidP="00BC430D">
      <w:pPr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BC430D">
        <w:rPr>
          <w:rFonts w:ascii="GHEA Grapalat" w:hAnsi="GHEA Grapalat"/>
          <w:b/>
          <w:snapToGrid w:val="0"/>
          <w:sz w:val="24"/>
          <w:szCs w:val="24"/>
        </w:rPr>
        <w:t>Հոդված 6. II հավելվածից (Ընդհանուր պայմաններ) շեղվող կամ այն լրացնող դրույթները</w:t>
      </w:r>
    </w:p>
    <w:p w:rsidR="0080214C" w:rsidRPr="00BF2EF8" w:rsidRDefault="003318D2" w:rsidP="00BC430D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C430D">
        <w:rPr>
          <w:rFonts w:ascii="GHEA Grapalat" w:hAnsi="GHEA Grapalat"/>
          <w:sz w:val="24"/>
          <w:szCs w:val="24"/>
        </w:rPr>
        <w:t>Կիրառելի չէ:</w:t>
      </w:r>
    </w:p>
    <w:p w:rsidR="008462E4" w:rsidRPr="00BF2EF8" w:rsidRDefault="008462E4" w:rsidP="00BC430D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11196B" w:rsidRPr="00BC430D" w:rsidRDefault="0011196B" w:rsidP="00BC430D">
      <w:pPr>
        <w:spacing w:after="160" w:line="360" w:lineRule="auto"/>
        <w:ind w:firstLine="567"/>
        <w:rPr>
          <w:rFonts w:ascii="GHEA Grapalat" w:hAnsi="GHEA Grapalat"/>
          <w:b/>
          <w:sz w:val="24"/>
          <w:szCs w:val="24"/>
        </w:rPr>
      </w:pPr>
      <w:r w:rsidRPr="00BC430D">
        <w:rPr>
          <w:rFonts w:ascii="GHEA Grapalat" w:hAnsi="GHEA Grapalat"/>
          <w:b/>
          <w:sz w:val="24"/>
          <w:szCs w:val="24"/>
        </w:rPr>
        <w:t>Հոդված 7. Ուժի մեջ մտնելը</w:t>
      </w:r>
    </w:p>
    <w:p w:rsidR="0080214C" w:rsidRPr="00BC430D" w:rsidRDefault="000026E4" w:rsidP="00BC430D">
      <w:pPr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Սույն Ֆինանսավորման համաձայնագիրն ուժի մեջ է մտնում այն օրը, երբ Հանձնաժողովը Գործընկերոջ կողմից ստանում է սույն Ֆինանսավորման համաձայնագիրն ուժի մեջ մտնելու համար անհրաժեշտ ներքին ընթացակարգերը Գործընկերոջ կողմից կատար</w:t>
      </w:r>
      <w:r w:rsidR="00657487" w:rsidRPr="00BC430D">
        <w:rPr>
          <w:rFonts w:ascii="GHEA Grapalat" w:hAnsi="GHEA Grapalat"/>
          <w:snapToGrid w:val="0"/>
          <w:sz w:val="24"/>
          <w:szCs w:val="24"/>
        </w:rPr>
        <w:t>վ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ելը հաստատելու մասին ծանուցում։ Հանձնաժողովը Գործընկերոջը հայտնում է այդ ծանուցումն ստանալու </w:t>
      </w:r>
      <w:r w:rsidRPr="00BC430D">
        <w:rPr>
          <w:rFonts w:ascii="GHEA Grapalat" w:hAnsi="GHEA Grapalat"/>
          <w:snapToGrid w:val="0"/>
          <w:sz w:val="24"/>
          <w:szCs w:val="24"/>
        </w:rPr>
        <w:lastRenderedPageBreak/>
        <w:t>ամսաթիվը: Սույն Ֆինանսավորման համաձայնագիրն ուժի մեջ չի մտնում, եթե մինչեւ</w:t>
      </w:r>
      <w:r w:rsidR="00BF2EF8">
        <w:rPr>
          <w:rFonts w:ascii="GHEA Grapalat" w:hAnsi="GHEA Grapalat"/>
          <w:snapToGrid w:val="0"/>
          <w:sz w:val="24"/>
          <w:szCs w:val="24"/>
        </w:rPr>
        <w:t xml:space="preserve"> 201</w:t>
      </w:r>
      <w:r w:rsidR="00BF2EF8" w:rsidRPr="00BF2EF8">
        <w:rPr>
          <w:rFonts w:ascii="GHEA Grapalat" w:hAnsi="GHEA Grapalat"/>
          <w:snapToGrid w:val="0"/>
          <w:sz w:val="24"/>
          <w:szCs w:val="24"/>
        </w:rPr>
        <w:t>9</w:t>
      </w:r>
      <w:r w:rsidRPr="00BC430D">
        <w:rPr>
          <w:rFonts w:ascii="GHEA Grapalat" w:hAnsi="GHEA Grapalat"/>
          <w:snapToGrid w:val="0"/>
          <w:sz w:val="24"/>
          <w:szCs w:val="24"/>
        </w:rPr>
        <w:t xml:space="preserve"> թվականի դեկտեմբերի 31-ը Հանձնաժողովը նման ծանուցում չի ստանում:</w:t>
      </w:r>
    </w:p>
    <w:p w:rsidR="000026E4" w:rsidRPr="00BC430D" w:rsidRDefault="000026E4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BC430D">
        <w:rPr>
          <w:rFonts w:ascii="GHEA Grapalat" w:hAnsi="GHEA Grapalat"/>
          <w:snapToGrid w:val="0"/>
          <w:sz w:val="24"/>
          <w:szCs w:val="24"/>
        </w:rPr>
        <w:t>Կատարված է երկու բնօրինակից. մեկ օրինակ հանձնվում է Հանձնաժողովին, մեկ օրինակ` Գործընկերոջը։</w:t>
      </w:r>
    </w:p>
    <w:p w:rsidR="00D236D0" w:rsidRPr="00BC430D" w:rsidRDefault="00D236D0" w:rsidP="00BC430D">
      <w:pPr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236D0" w:rsidRPr="00BC430D" w:rsidTr="00D236D0"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Գործընկերոջ կողմից՝</w:t>
            </w:r>
          </w:p>
        </w:tc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Հանձնաժողովի կողմից՝</w:t>
            </w:r>
          </w:p>
        </w:tc>
      </w:tr>
      <w:tr w:rsidR="00D236D0" w:rsidRPr="00BC430D" w:rsidTr="00D236D0"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Տիգրան Խաչատրյան</w:t>
            </w:r>
          </w:p>
        </w:tc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Լորենս Մերեդիթ</w:t>
            </w:r>
          </w:p>
        </w:tc>
      </w:tr>
      <w:tr w:rsidR="00D236D0" w:rsidRPr="00BC430D" w:rsidTr="00D236D0"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 xml:space="preserve">Տնտեսական զարգացման </w:t>
            </w:r>
            <w:r w:rsidR="007626C1" w:rsidRPr="00BC430D">
              <w:rPr>
                <w:rFonts w:ascii="GHEA Grapalat" w:hAnsi="GHEA Grapalat"/>
                <w:snapToGrid w:val="0"/>
                <w:sz w:val="24"/>
                <w:szCs w:val="24"/>
              </w:rPr>
              <w:t>եւ</w:t>
            </w: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 xml:space="preserve"> ներդրումների նախարարի պաշտոնակատար</w:t>
            </w:r>
          </w:p>
        </w:tc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Հարեւանության եւ ընդլայնման բանակցությունների հարցերով գլխավոր տնօրինության արեւելյան հարեւանության հարցերով տնօրեն, «C» բաժին</w:t>
            </w:r>
          </w:p>
        </w:tc>
      </w:tr>
      <w:tr w:rsidR="00D236D0" w:rsidRPr="00BC430D" w:rsidTr="00D236D0"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z w:val="24"/>
                <w:szCs w:val="24"/>
              </w:rPr>
              <w:t>Հայաստանի Հանրապետություն</w:t>
            </w:r>
          </w:p>
        </w:tc>
        <w:tc>
          <w:tcPr>
            <w:tcW w:w="4644" w:type="dxa"/>
          </w:tcPr>
          <w:p w:rsidR="00D236D0" w:rsidRPr="00BC430D" w:rsidRDefault="00D236D0" w:rsidP="008462E4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z w:val="24"/>
                <w:szCs w:val="24"/>
              </w:rPr>
              <w:t>Եվրոպական հանձնաժողով</w:t>
            </w:r>
          </w:p>
        </w:tc>
      </w:tr>
      <w:tr w:rsidR="00B26E01" w:rsidRPr="00BC430D" w:rsidTr="00D236D0">
        <w:tc>
          <w:tcPr>
            <w:tcW w:w="4644" w:type="dxa"/>
          </w:tcPr>
          <w:p w:rsidR="00B26E01" w:rsidRPr="008462E4" w:rsidRDefault="00B26E01" w:rsidP="008462E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 xml:space="preserve">Ստորագրություն </w:t>
            </w:r>
            <w:r w:rsidR="008462E4">
              <w:rPr>
                <w:rFonts w:ascii="GHEA Grapalat" w:hAnsi="GHEA Grapalat"/>
                <w:snapToGrid w:val="0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4644" w:type="dxa"/>
          </w:tcPr>
          <w:p w:rsidR="00B26E01" w:rsidRPr="00BC430D" w:rsidRDefault="00B26E01" w:rsidP="008462E4">
            <w:pPr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Ստորագրություն ———————</w:t>
            </w:r>
          </w:p>
        </w:tc>
      </w:tr>
      <w:tr w:rsidR="00B26E01" w:rsidRPr="0080214C" w:rsidTr="00D236D0">
        <w:tc>
          <w:tcPr>
            <w:tcW w:w="4644" w:type="dxa"/>
          </w:tcPr>
          <w:p w:rsidR="00B26E01" w:rsidRPr="008462E4" w:rsidRDefault="00B26E01" w:rsidP="008462E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վայրն ու ամսաթիվը`</w:t>
            </w:r>
            <w:r w:rsidR="008462E4">
              <w:rPr>
                <w:rFonts w:ascii="GHEA Grapalat" w:hAnsi="GHEA Grapalat"/>
                <w:snapToGrid w:val="0"/>
                <w:sz w:val="24"/>
                <w:szCs w:val="24"/>
                <w:lang w:val="en-US"/>
              </w:rPr>
              <w:t xml:space="preserve"> ______________</w:t>
            </w:r>
          </w:p>
        </w:tc>
        <w:tc>
          <w:tcPr>
            <w:tcW w:w="4644" w:type="dxa"/>
          </w:tcPr>
          <w:p w:rsidR="00B26E01" w:rsidRPr="0080214C" w:rsidRDefault="00B26E01" w:rsidP="008462E4">
            <w:pPr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վայրն ու ամսաթիվը`________________</w:t>
            </w:r>
          </w:p>
        </w:tc>
      </w:tr>
    </w:tbl>
    <w:p w:rsidR="00B26E01" w:rsidRPr="0080214C" w:rsidRDefault="00B26E01" w:rsidP="00BC430D">
      <w:pPr>
        <w:spacing w:after="160" w:line="360" w:lineRule="auto"/>
        <w:ind w:firstLine="567"/>
        <w:rPr>
          <w:rFonts w:ascii="GHEA Grapalat" w:eastAsia="Times New Roman" w:hAnsi="GHEA Grapalat"/>
          <w:snapToGrid w:val="0"/>
          <w:sz w:val="24"/>
          <w:szCs w:val="24"/>
        </w:rPr>
      </w:pPr>
    </w:p>
    <w:sectPr w:rsidR="00B26E01" w:rsidRPr="0080214C" w:rsidSect="00BC430D">
      <w:footerReference w:type="default" r:id="rId11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B8" w:rsidRDefault="00CD0AB8" w:rsidP="0011196B">
      <w:pPr>
        <w:spacing w:after="0" w:line="240" w:lineRule="auto"/>
      </w:pPr>
      <w:r>
        <w:separator/>
      </w:r>
    </w:p>
  </w:endnote>
  <w:endnote w:type="continuationSeparator" w:id="0">
    <w:p w:rsidR="00CD0AB8" w:rsidRDefault="00CD0AB8" w:rsidP="0011196B">
      <w:pPr>
        <w:spacing w:after="0" w:line="240" w:lineRule="auto"/>
      </w:pPr>
      <w:r>
        <w:continuationSeparator/>
      </w:r>
    </w:p>
  </w:endnote>
  <w:endnote w:type="continuationNotice" w:id="1">
    <w:p w:rsidR="00CD0AB8" w:rsidRDefault="00CD0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AE" w:rsidRPr="00BC430D" w:rsidRDefault="00C060AE" w:rsidP="00BC430D">
    <w:pPr>
      <w:pStyle w:val="Footer"/>
      <w:tabs>
        <w:tab w:val="clear" w:pos="4536"/>
      </w:tabs>
      <w:spacing w:after="0" w:line="240" w:lineRule="auto"/>
      <w:rPr>
        <w:rFonts w:ascii="GHEA Grapalat" w:hAnsi="GHEA Grapalat"/>
        <w:noProof/>
        <w:sz w:val="24"/>
        <w:szCs w:val="24"/>
      </w:rPr>
    </w:pPr>
    <w:r w:rsidRPr="00BC430D">
      <w:rPr>
        <w:rFonts w:ascii="GHEA Grapalat" w:hAnsi="GHEA Grapalat"/>
        <w:b/>
        <w:sz w:val="24"/>
        <w:szCs w:val="24"/>
      </w:rPr>
      <w:t>2018 թվականի հուլիս</w:t>
    </w:r>
    <w:r w:rsidRPr="00BC430D">
      <w:rPr>
        <w:rFonts w:ascii="GHEA Grapalat" w:hAnsi="GHEA Grapalat"/>
        <w:sz w:val="24"/>
        <w:szCs w:val="24"/>
      </w:rPr>
      <w:tab/>
    </w:r>
    <w:r w:rsidR="00046523" w:rsidRPr="00BC430D">
      <w:rPr>
        <w:rFonts w:ascii="GHEA Grapalat" w:hAnsi="GHEA Grapalat"/>
        <w:sz w:val="24"/>
        <w:szCs w:val="24"/>
      </w:rPr>
      <w:fldChar w:fldCharType="begin"/>
    </w:r>
    <w:r w:rsidRPr="00BC430D">
      <w:rPr>
        <w:rFonts w:ascii="GHEA Grapalat" w:hAnsi="GHEA Grapalat"/>
        <w:sz w:val="24"/>
        <w:szCs w:val="24"/>
      </w:rPr>
      <w:instrText xml:space="preserve"> PAGE   \* MERGEFORMAT </w:instrText>
    </w:r>
    <w:r w:rsidR="00046523" w:rsidRPr="00BC430D">
      <w:rPr>
        <w:rFonts w:ascii="GHEA Grapalat" w:hAnsi="GHEA Grapalat"/>
        <w:sz w:val="24"/>
        <w:szCs w:val="24"/>
      </w:rPr>
      <w:fldChar w:fldCharType="separate"/>
    </w:r>
    <w:r w:rsidR="009176D6">
      <w:rPr>
        <w:rFonts w:ascii="GHEA Grapalat" w:hAnsi="GHEA Grapalat"/>
        <w:noProof/>
        <w:sz w:val="24"/>
        <w:szCs w:val="24"/>
      </w:rPr>
      <w:t>2</w:t>
    </w:r>
    <w:r w:rsidR="00046523" w:rsidRPr="00BC430D">
      <w:rPr>
        <w:rFonts w:ascii="GHEA Grapalat" w:hAnsi="GHEA Grapalat"/>
        <w:noProof/>
        <w:sz w:val="24"/>
        <w:szCs w:val="24"/>
      </w:rPr>
      <w:fldChar w:fldCharType="end"/>
    </w:r>
  </w:p>
  <w:p w:rsidR="00C060AE" w:rsidRPr="00BC430D" w:rsidRDefault="009176D6" w:rsidP="004E0BD7">
    <w:pPr>
      <w:pStyle w:val="Footer"/>
      <w:spacing w:line="240" w:lineRule="auto"/>
      <w:rPr>
        <w:rFonts w:ascii="GHEA Grapalat" w:hAnsi="GHEA Grapalat"/>
        <w:sz w:val="24"/>
        <w:szCs w:val="24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77A56" w:rsidRPr="00877A56">
      <w:rPr>
        <w:rFonts w:ascii="GHEA Grapalat" w:hAnsi="GHEA Grapalat"/>
        <w:noProof/>
        <w:sz w:val="24"/>
        <w:szCs w:val="24"/>
      </w:rPr>
      <w:t>EU4Citizens_Special conditions_ARM (</w:t>
    </w:r>
    <w:r w:rsidR="00877A56">
      <w:rPr>
        <w:noProof/>
      </w:rPr>
      <w:t>2)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B8" w:rsidRDefault="00CD0AB8" w:rsidP="0011196B">
      <w:pPr>
        <w:spacing w:after="0" w:line="240" w:lineRule="auto"/>
      </w:pPr>
      <w:r>
        <w:separator/>
      </w:r>
    </w:p>
  </w:footnote>
  <w:footnote w:type="continuationSeparator" w:id="0">
    <w:p w:rsidR="00CD0AB8" w:rsidRDefault="00CD0AB8" w:rsidP="0011196B">
      <w:pPr>
        <w:spacing w:after="0" w:line="240" w:lineRule="auto"/>
      </w:pPr>
      <w:r>
        <w:continuationSeparator/>
      </w:r>
    </w:p>
  </w:footnote>
  <w:footnote w:type="continuationNotice" w:id="1">
    <w:p w:rsidR="00CD0AB8" w:rsidRDefault="00CD0A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16A3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1196B"/>
    <w:rsid w:val="000002E9"/>
    <w:rsid w:val="000026E4"/>
    <w:rsid w:val="000056BF"/>
    <w:rsid w:val="0000746F"/>
    <w:rsid w:val="00024265"/>
    <w:rsid w:val="00030164"/>
    <w:rsid w:val="00046523"/>
    <w:rsid w:val="000517A4"/>
    <w:rsid w:val="00051F95"/>
    <w:rsid w:val="000608DD"/>
    <w:rsid w:val="0006708C"/>
    <w:rsid w:val="00073E33"/>
    <w:rsid w:val="00080730"/>
    <w:rsid w:val="000862E2"/>
    <w:rsid w:val="00086AC8"/>
    <w:rsid w:val="00094951"/>
    <w:rsid w:val="00094A40"/>
    <w:rsid w:val="000A687A"/>
    <w:rsid w:val="000B4035"/>
    <w:rsid w:val="000D2012"/>
    <w:rsid w:val="000D476B"/>
    <w:rsid w:val="000F6D72"/>
    <w:rsid w:val="0010676F"/>
    <w:rsid w:val="00110BAA"/>
    <w:rsid w:val="0011196B"/>
    <w:rsid w:val="00126520"/>
    <w:rsid w:val="0012718E"/>
    <w:rsid w:val="00135DBC"/>
    <w:rsid w:val="0014043D"/>
    <w:rsid w:val="001476BC"/>
    <w:rsid w:val="00154AE9"/>
    <w:rsid w:val="00187D42"/>
    <w:rsid w:val="0019087A"/>
    <w:rsid w:val="00193FB6"/>
    <w:rsid w:val="001A2466"/>
    <w:rsid w:val="001A3C10"/>
    <w:rsid w:val="001C66C2"/>
    <w:rsid w:val="001C6BC5"/>
    <w:rsid w:val="001D1140"/>
    <w:rsid w:val="001D28C2"/>
    <w:rsid w:val="001D3822"/>
    <w:rsid w:val="001F14DF"/>
    <w:rsid w:val="001F4D4C"/>
    <w:rsid w:val="001F7F5E"/>
    <w:rsid w:val="002063D3"/>
    <w:rsid w:val="00217159"/>
    <w:rsid w:val="0021733A"/>
    <w:rsid w:val="0022061D"/>
    <w:rsid w:val="00222928"/>
    <w:rsid w:val="002304EA"/>
    <w:rsid w:val="00232C9C"/>
    <w:rsid w:val="0024365B"/>
    <w:rsid w:val="002479D2"/>
    <w:rsid w:val="002561D3"/>
    <w:rsid w:val="00256EE4"/>
    <w:rsid w:val="00257821"/>
    <w:rsid w:val="00264F71"/>
    <w:rsid w:val="00265DB4"/>
    <w:rsid w:val="002753A3"/>
    <w:rsid w:val="002916F2"/>
    <w:rsid w:val="00294F92"/>
    <w:rsid w:val="002D6B04"/>
    <w:rsid w:val="002E17AA"/>
    <w:rsid w:val="002E6C8A"/>
    <w:rsid w:val="002F6B72"/>
    <w:rsid w:val="00303C2D"/>
    <w:rsid w:val="003047B4"/>
    <w:rsid w:val="003055EA"/>
    <w:rsid w:val="00313BAC"/>
    <w:rsid w:val="00320B97"/>
    <w:rsid w:val="00330C6E"/>
    <w:rsid w:val="003318D2"/>
    <w:rsid w:val="003369CB"/>
    <w:rsid w:val="00341AEF"/>
    <w:rsid w:val="00346CB2"/>
    <w:rsid w:val="00350788"/>
    <w:rsid w:val="003536C7"/>
    <w:rsid w:val="00362E25"/>
    <w:rsid w:val="003700B2"/>
    <w:rsid w:val="00371EE7"/>
    <w:rsid w:val="00382EE3"/>
    <w:rsid w:val="00387DA3"/>
    <w:rsid w:val="00394C23"/>
    <w:rsid w:val="003A3849"/>
    <w:rsid w:val="003B30EC"/>
    <w:rsid w:val="003B4F15"/>
    <w:rsid w:val="003C5FD8"/>
    <w:rsid w:val="003D442C"/>
    <w:rsid w:val="003E6190"/>
    <w:rsid w:val="003E667C"/>
    <w:rsid w:val="003F0CBA"/>
    <w:rsid w:val="00423DD6"/>
    <w:rsid w:val="00430C97"/>
    <w:rsid w:val="00431E34"/>
    <w:rsid w:val="00441229"/>
    <w:rsid w:val="0044695A"/>
    <w:rsid w:val="00464339"/>
    <w:rsid w:val="004663DD"/>
    <w:rsid w:val="00474C41"/>
    <w:rsid w:val="004775FB"/>
    <w:rsid w:val="004909A3"/>
    <w:rsid w:val="004A77D8"/>
    <w:rsid w:val="004C585F"/>
    <w:rsid w:val="004D1ADC"/>
    <w:rsid w:val="004E0BD7"/>
    <w:rsid w:val="004E15E2"/>
    <w:rsid w:val="004E3846"/>
    <w:rsid w:val="004F0BA8"/>
    <w:rsid w:val="00524E96"/>
    <w:rsid w:val="00563C6E"/>
    <w:rsid w:val="00573955"/>
    <w:rsid w:val="005A742A"/>
    <w:rsid w:val="005B6145"/>
    <w:rsid w:val="005E2E58"/>
    <w:rsid w:val="005E5092"/>
    <w:rsid w:val="005F4CBD"/>
    <w:rsid w:val="006005A3"/>
    <w:rsid w:val="00603E70"/>
    <w:rsid w:val="006116ED"/>
    <w:rsid w:val="00613FF6"/>
    <w:rsid w:val="00617B63"/>
    <w:rsid w:val="00624191"/>
    <w:rsid w:val="00631801"/>
    <w:rsid w:val="00631A65"/>
    <w:rsid w:val="00657487"/>
    <w:rsid w:val="00657A61"/>
    <w:rsid w:val="006633E2"/>
    <w:rsid w:val="0067039F"/>
    <w:rsid w:val="00682B3D"/>
    <w:rsid w:val="00685FA8"/>
    <w:rsid w:val="006902AC"/>
    <w:rsid w:val="00692F76"/>
    <w:rsid w:val="006A4951"/>
    <w:rsid w:val="006B7E95"/>
    <w:rsid w:val="006D1B41"/>
    <w:rsid w:val="006E187C"/>
    <w:rsid w:val="006E50AD"/>
    <w:rsid w:val="006F341E"/>
    <w:rsid w:val="006F6516"/>
    <w:rsid w:val="00717059"/>
    <w:rsid w:val="00720EA7"/>
    <w:rsid w:val="007215DA"/>
    <w:rsid w:val="0072211B"/>
    <w:rsid w:val="00737B3D"/>
    <w:rsid w:val="00741616"/>
    <w:rsid w:val="007545B9"/>
    <w:rsid w:val="007626C1"/>
    <w:rsid w:val="00792EB1"/>
    <w:rsid w:val="007A055C"/>
    <w:rsid w:val="007A0AFD"/>
    <w:rsid w:val="007A0B2C"/>
    <w:rsid w:val="007A14F1"/>
    <w:rsid w:val="007B7012"/>
    <w:rsid w:val="007C016E"/>
    <w:rsid w:val="007C23C3"/>
    <w:rsid w:val="007F2812"/>
    <w:rsid w:val="007F3330"/>
    <w:rsid w:val="00801805"/>
    <w:rsid w:val="0080214C"/>
    <w:rsid w:val="00820DD4"/>
    <w:rsid w:val="008323DA"/>
    <w:rsid w:val="00833982"/>
    <w:rsid w:val="00833A5D"/>
    <w:rsid w:val="0083678C"/>
    <w:rsid w:val="008462E4"/>
    <w:rsid w:val="00852A5F"/>
    <w:rsid w:val="00856BD9"/>
    <w:rsid w:val="00865D72"/>
    <w:rsid w:val="00874CE8"/>
    <w:rsid w:val="00877A56"/>
    <w:rsid w:val="008948E7"/>
    <w:rsid w:val="008955AC"/>
    <w:rsid w:val="008A2B2A"/>
    <w:rsid w:val="008B1C32"/>
    <w:rsid w:val="008D5690"/>
    <w:rsid w:val="008E363E"/>
    <w:rsid w:val="008E6A9A"/>
    <w:rsid w:val="008F060E"/>
    <w:rsid w:val="009006EB"/>
    <w:rsid w:val="00907AA9"/>
    <w:rsid w:val="00912A01"/>
    <w:rsid w:val="00913DED"/>
    <w:rsid w:val="009176D6"/>
    <w:rsid w:val="00937F77"/>
    <w:rsid w:val="00955EFE"/>
    <w:rsid w:val="0096609A"/>
    <w:rsid w:val="00970E39"/>
    <w:rsid w:val="00980871"/>
    <w:rsid w:val="009942FA"/>
    <w:rsid w:val="009956A4"/>
    <w:rsid w:val="009B697C"/>
    <w:rsid w:val="009B7EB1"/>
    <w:rsid w:val="009D1271"/>
    <w:rsid w:val="009E0A6E"/>
    <w:rsid w:val="009E1913"/>
    <w:rsid w:val="009F185C"/>
    <w:rsid w:val="009F226E"/>
    <w:rsid w:val="00A005DC"/>
    <w:rsid w:val="00A00D0C"/>
    <w:rsid w:val="00A071D1"/>
    <w:rsid w:val="00A161E8"/>
    <w:rsid w:val="00A25378"/>
    <w:rsid w:val="00A25525"/>
    <w:rsid w:val="00A26221"/>
    <w:rsid w:val="00A33237"/>
    <w:rsid w:val="00A367A0"/>
    <w:rsid w:val="00A41E7A"/>
    <w:rsid w:val="00A45507"/>
    <w:rsid w:val="00A47C11"/>
    <w:rsid w:val="00A526B3"/>
    <w:rsid w:val="00A57031"/>
    <w:rsid w:val="00A67D9F"/>
    <w:rsid w:val="00A916F8"/>
    <w:rsid w:val="00AA7CD8"/>
    <w:rsid w:val="00AB1447"/>
    <w:rsid w:val="00AC5B67"/>
    <w:rsid w:val="00B0015D"/>
    <w:rsid w:val="00B12B26"/>
    <w:rsid w:val="00B26E01"/>
    <w:rsid w:val="00B31860"/>
    <w:rsid w:val="00B33619"/>
    <w:rsid w:val="00B55779"/>
    <w:rsid w:val="00B56E5F"/>
    <w:rsid w:val="00B75D13"/>
    <w:rsid w:val="00B81079"/>
    <w:rsid w:val="00B86279"/>
    <w:rsid w:val="00BB432D"/>
    <w:rsid w:val="00BC430D"/>
    <w:rsid w:val="00BC6675"/>
    <w:rsid w:val="00BD4CA8"/>
    <w:rsid w:val="00BE1B2A"/>
    <w:rsid w:val="00BE1D93"/>
    <w:rsid w:val="00BF2EF8"/>
    <w:rsid w:val="00C060AE"/>
    <w:rsid w:val="00C10BF9"/>
    <w:rsid w:val="00C22EFC"/>
    <w:rsid w:val="00C235EC"/>
    <w:rsid w:val="00C2665B"/>
    <w:rsid w:val="00C353D6"/>
    <w:rsid w:val="00C35860"/>
    <w:rsid w:val="00C4689F"/>
    <w:rsid w:val="00C53AB2"/>
    <w:rsid w:val="00C54037"/>
    <w:rsid w:val="00C551AA"/>
    <w:rsid w:val="00C67072"/>
    <w:rsid w:val="00C85770"/>
    <w:rsid w:val="00C91EBC"/>
    <w:rsid w:val="00C976A5"/>
    <w:rsid w:val="00CA3AD4"/>
    <w:rsid w:val="00CA4446"/>
    <w:rsid w:val="00CA63F4"/>
    <w:rsid w:val="00CB45B4"/>
    <w:rsid w:val="00CD0AB8"/>
    <w:rsid w:val="00CD27F3"/>
    <w:rsid w:val="00CD4A8E"/>
    <w:rsid w:val="00CE2E39"/>
    <w:rsid w:val="00CE3B5E"/>
    <w:rsid w:val="00CE4EB1"/>
    <w:rsid w:val="00CE607A"/>
    <w:rsid w:val="00CE7224"/>
    <w:rsid w:val="00CF0481"/>
    <w:rsid w:val="00CF3B32"/>
    <w:rsid w:val="00D04F79"/>
    <w:rsid w:val="00D06C2F"/>
    <w:rsid w:val="00D10D00"/>
    <w:rsid w:val="00D10E08"/>
    <w:rsid w:val="00D205E1"/>
    <w:rsid w:val="00D236D0"/>
    <w:rsid w:val="00D44D48"/>
    <w:rsid w:val="00D573F4"/>
    <w:rsid w:val="00D66B82"/>
    <w:rsid w:val="00D80507"/>
    <w:rsid w:val="00D80E3B"/>
    <w:rsid w:val="00D87605"/>
    <w:rsid w:val="00D90241"/>
    <w:rsid w:val="00DA6F08"/>
    <w:rsid w:val="00E038B8"/>
    <w:rsid w:val="00E10E0F"/>
    <w:rsid w:val="00E246B7"/>
    <w:rsid w:val="00E3506A"/>
    <w:rsid w:val="00E36A05"/>
    <w:rsid w:val="00E40B83"/>
    <w:rsid w:val="00E427A4"/>
    <w:rsid w:val="00E5427F"/>
    <w:rsid w:val="00E5487B"/>
    <w:rsid w:val="00E56B22"/>
    <w:rsid w:val="00E71C24"/>
    <w:rsid w:val="00E75CFC"/>
    <w:rsid w:val="00E75FBD"/>
    <w:rsid w:val="00E77708"/>
    <w:rsid w:val="00EA1072"/>
    <w:rsid w:val="00EA7CDE"/>
    <w:rsid w:val="00EB4036"/>
    <w:rsid w:val="00EB40F4"/>
    <w:rsid w:val="00EB674C"/>
    <w:rsid w:val="00EC0273"/>
    <w:rsid w:val="00EC2EBA"/>
    <w:rsid w:val="00EE134F"/>
    <w:rsid w:val="00EF4506"/>
    <w:rsid w:val="00EF4AF3"/>
    <w:rsid w:val="00F0073F"/>
    <w:rsid w:val="00F10347"/>
    <w:rsid w:val="00F21C5E"/>
    <w:rsid w:val="00F27E12"/>
    <w:rsid w:val="00F36EFF"/>
    <w:rsid w:val="00F51C05"/>
    <w:rsid w:val="00F56AFA"/>
    <w:rsid w:val="00F6583A"/>
    <w:rsid w:val="00F77D9C"/>
    <w:rsid w:val="00F9111C"/>
    <w:rsid w:val="00FA1B2F"/>
    <w:rsid w:val="00FA747B"/>
    <w:rsid w:val="00FB4D2F"/>
    <w:rsid w:val="00FD3B82"/>
    <w:rsid w:val="00FE19F3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690EA4-EEE6-4DC6-9398-91BF015E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19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196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B2C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15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0015D"/>
    <w:rPr>
      <w:lang w:eastAsia="en-US"/>
    </w:rPr>
  </w:style>
  <w:style w:type="character" w:styleId="Hyperlink">
    <w:name w:val="Hyperlink"/>
    <w:unhideWhenUsed/>
    <w:rsid w:val="00B0015D"/>
    <w:rPr>
      <w:color w:val="0000FF"/>
      <w:u w:val="single"/>
    </w:rPr>
  </w:style>
  <w:style w:type="character" w:styleId="FootnoteReference">
    <w:name w:val="footnote reference"/>
    <w:unhideWhenUsed/>
    <w:rsid w:val="00B0015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0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7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76F"/>
    <w:rPr>
      <w:b/>
      <w:bCs/>
      <w:lang w:eastAsia="en-US"/>
    </w:rPr>
  </w:style>
  <w:style w:type="paragraph" w:styleId="Revision">
    <w:name w:val="Revision"/>
    <w:hidden/>
    <w:uiPriority w:val="99"/>
    <w:semiHidden/>
    <w:rsid w:val="0010676F"/>
    <w:rPr>
      <w:sz w:val="22"/>
      <w:szCs w:val="22"/>
      <w:lang w:eastAsia="en-US"/>
    </w:rPr>
  </w:style>
  <w:style w:type="paragraph" w:customStyle="1" w:styleId="Text1">
    <w:name w:val="Text 1"/>
    <w:basedOn w:val="Normal"/>
    <w:rsid w:val="00A45507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5C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8D2"/>
    <w:pPr>
      <w:ind w:left="720"/>
      <w:contextualSpacing/>
    </w:pPr>
  </w:style>
  <w:style w:type="table" w:styleId="TableGrid">
    <w:name w:val="Table Grid"/>
    <w:basedOn w:val="TableNormal"/>
    <w:uiPriority w:val="59"/>
    <w:rsid w:val="00D2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52A7B21296A4085AB9FED90B997A5" ma:contentTypeVersion="1" ma:contentTypeDescription="Create a new document." ma:contentTypeScope="" ma:versionID="77e5fdfd10efc3e28c4bdf97554552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A824-9637-4F41-9ECE-DD72C22D83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DF94F5-55D3-4CA9-9B4E-363950D64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9673-ACCD-4CFE-9228-D1FB08234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0D994-5532-4ADF-877E-04B2C513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 Grigoryan</dc:creator>
  <cp:keywords>https:/mul-mineconomy.gov.am/tasks/docs/attachment.php?id=180494&amp;fn=6.EU4Citizens_Special+conditions_ARM.docx&amp;out=0&amp;token=b86f1e466aaff57e1d77</cp:keywords>
  <cp:lastModifiedBy>Anahit Voskanyan</cp:lastModifiedBy>
  <cp:revision>2</cp:revision>
  <cp:lastPrinted>2018-12-06T13:09:00Z</cp:lastPrinted>
  <dcterms:created xsi:type="dcterms:W3CDTF">2018-12-06T14:20:00Z</dcterms:created>
  <dcterms:modified xsi:type="dcterms:W3CDTF">2018-12-06T14:20:00Z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0x010100D6352A7B21296A4085AB9FED90B997A5</vt:lpwstr>
  </property>
</Properties>
</file>