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9"/>
        <w:gridCol w:w="4644"/>
      </w:tblGrid>
      <w:tr w:rsidR="00A350E1" w:rsidTr="00A350E1">
        <w:tc>
          <w:tcPr>
            <w:tcW w:w="849" w:type="dxa"/>
          </w:tcPr>
          <w:p w:rsidR="00A350E1" w:rsidRDefault="00A350E1" w:rsidP="00A350E1">
            <w:pPr>
              <w:pStyle w:val="Bodytext30"/>
              <w:shd w:val="clear" w:color="auto" w:fill="auto"/>
              <w:spacing w:after="160" w:line="360" w:lineRule="auto"/>
              <w:ind w:right="-1"/>
              <w:jc w:val="center"/>
              <w:rPr>
                <w:rFonts w:ascii="GHEA Grapalat" w:hAnsi="GHEA Grapalat"/>
                <w:sz w:val="24"/>
                <w:szCs w:val="24"/>
              </w:rPr>
            </w:pPr>
            <w:r>
              <w:rPr>
                <w:rFonts w:ascii="GHEA Grapalat" w:hAnsi="GHEA Grapalat"/>
                <w:noProof/>
                <w:sz w:val="24"/>
                <w:szCs w:val="24"/>
                <w:lang w:val="en-US" w:eastAsia="en-US" w:bidi="ar-SA"/>
              </w:rPr>
              <w:drawing>
                <wp:inline distT="0" distB="0" distL="0" distR="0">
                  <wp:extent cx="257175" cy="190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7175" cy="190500"/>
                          </a:xfrm>
                          <a:prstGeom prst="rect">
                            <a:avLst/>
                          </a:prstGeom>
                          <a:noFill/>
                          <a:ln w="9525">
                            <a:noFill/>
                            <a:miter lim="800000"/>
                            <a:headEnd/>
                            <a:tailEnd/>
                          </a:ln>
                        </pic:spPr>
                      </pic:pic>
                    </a:graphicData>
                  </a:graphic>
                </wp:inline>
              </w:drawing>
            </w:r>
          </w:p>
        </w:tc>
        <w:tc>
          <w:tcPr>
            <w:tcW w:w="4644" w:type="dxa"/>
          </w:tcPr>
          <w:p w:rsidR="00A350E1" w:rsidRPr="00A350E1" w:rsidRDefault="00A350E1" w:rsidP="00A350E1">
            <w:pPr>
              <w:pStyle w:val="Bodytext30"/>
              <w:shd w:val="clear" w:color="auto" w:fill="auto"/>
              <w:spacing w:after="160" w:line="360" w:lineRule="auto"/>
              <w:ind w:right="-1"/>
              <w:rPr>
                <w:rFonts w:ascii="GHEA Grapalat" w:hAnsi="GHEA Grapalat" w:cs="Sylfaen"/>
                <w:sz w:val="24"/>
                <w:szCs w:val="24"/>
              </w:rPr>
            </w:pPr>
            <w:r w:rsidRPr="00A350E1">
              <w:rPr>
                <w:rFonts w:ascii="GHEA Grapalat" w:hAnsi="GHEA Grapalat"/>
                <w:sz w:val="24"/>
                <w:szCs w:val="24"/>
              </w:rPr>
              <w:t>Ref. Ares(2018)4466866 - 30/08/2018</w:t>
            </w:r>
          </w:p>
        </w:tc>
      </w:tr>
      <w:tr w:rsidR="00A350E1" w:rsidTr="00A350E1">
        <w:tc>
          <w:tcPr>
            <w:tcW w:w="849" w:type="dxa"/>
          </w:tcPr>
          <w:p w:rsidR="00A350E1" w:rsidRDefault="00A350E1" w:rsidP="00A350E1">
            <w:pPr>
              <w:pStyle w:val="Bodytext30"/>
              <w:shd w:val="clear" w:color="auto" w:fill="auto"/>
              <w:tabs>
                <w:tab w:val="left" w:pos="600"/>
              </w:tabs>
              <w:spacing w:after="160" w:line="360" w:lineRule="auto"/>
              <w:ind w:right="-1"/>
              <w:jc w:val="center"/>
              <w:rPr>
                <w:rFonts w:ascii="GHEA Grapalat" w:hAnsi="GHEA Grapalat"/>
                <w:sz w:val="24"/>
                <w:szCs w:val="24"/>
              </w:rPr>
            </w:pPr>
            <w:r>
              <w:rPr>
                <w:rFonts w:ascii="GHEA Grapalat" w:hAnsi="GHEA Grapalat"/>
                <w:noProof/>
                <w:sz w:val="24"/>
                <w:szCs w:val="24"/>
                <w:lang w:val="en-US" w:eastAsia="en-US" w:bidi="ar-SA"/>
              </w:rPr>
              <w:drawing>
                <wp:inline distT="0" distB="0" distL="0" distR="0">
                  <wp:extent cx="257175" cy="1714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7175" cy="171450"/>
                          </a:xfrm>
                          <a:prstGeom prst="rect">
                            <a:avLst/>
                          </a:prstGeom>
                          <a:noFill/>
                          <a:ln w="9525">
                            <a:noFill/>
                            <a:miter lim="800000"/>
                            <a:headEnd/>
                            <a:tailEnd/>
                          </a:ln>
                        </pic:spPr>
                      </pic:pic>
                    </a:graphicData>
                  </a:graphic>
                </wp:inline>
              </w:drawing>
            </w:r>
          </w:p>
        </w:tc>
        <w:tc>
          <w:tcPr>
            <w:tcW w:w="4644" w:type="dxa"/>
          </w:tcPr>
          <w:p w:rsidR="00A350E1" w:rsidRPr="00A350E1" w:rsidRDefault="00A350E1" w:rsidP="00A350E1">
            <w:pPr>
              <w:pStyle w:val="Bodytext30"/>
              <w:shd w:val="clear" w:color="auto" w:fill="auto"/>
              <w:spacing w:after="160" w:line="360" w:lineRule="auto"/>
              <w:ind w:right="-1"/>
              <w:rPr>
                <w:rFonts w:ascii="GHEA Grapalat" w:hAnsi="GHEA Grapalat" w:cs="Sylfaen"/>
                <w:sz w:val="24"/>
                <w:szCs w:val="24"/>
              </w:rPr>
            </w:pPr>
            <w:r w:rsidRPr="00A350E1">
              <w:rPr>
                <w:rStyle w:val="Bodytext32"/>
                <w:rFonts w:ascii="GHEA Grapalat" w:hAnsi="GHEA Grapalat"/>
                <w:sz w:val="24"/>
                <w:szCs w:val="24"/>
              </w:rPr>
              <w:t>Ref. Ares(2018)3770399 -16/07/2018</w:t>
            </w:r>
          </w:p>
        </w:tc>
      </w:tr>
    </w:tbl>
    <w:p w:rsidR="00A350E1" w:rsidRDefault="00A350E1" w:rsidP="00A350E1">
      <w:pPr>
        <w:pStyle w:val="Bodytext30"/>
        <w:shd w:val="clear" w:color="auto" w:fill="auto"/>
        <w:spacing w:after="160" w:line="360" w:lineRule="auto"/>
        <w:ind w:right="-1"/>
        <w:rPr>
          <w:rFonts w:ascii="GHEA Grapalat" w:hAnsi="GHEA Grapalat"/>
          <w:sz w:val="24"/>
          <w:szCs w:val="24"/>
        </w:rPr>
      </w:pPr>
    </w:p>
    <w:p w:rsidR="001A58C9" w:rsidRDefault="001A58C9" w:rsidP="00A350E1">
      <w:pPr>
        <w:pStyle w:val="Bodytext20"/>
        <w:shd w:val="clear" w:color="auto" w:fill="auto"/>
        <w:spacing w:after="160" w:line="360" w:lineRule="auto"/>
        <w:ind w:right="-1" w:firstLine="0"/>
        <w:rPr>
          <w:rStyle w:val="Bodytext21"/>
          <w:rFonts w:ascii="GHEA Grapalat" w:hAnsi="GHEA Grapalat" w:cs="Sylfaen"/>
          <w:sz w:val="24"/>
          <w:szCs w:val="24"/>
        </w:rPr>
      </w:pPr>
      <w:r w:rsidRPr="00A350E1">
        <w:rPr>
          <w:rStyle w:val="Bodytext21"/>
          <w:rFonts w:ascii="GHEA Grapalat" w:hAnsi="GHEA Grapalat"/>
          <w:sz w:val="24"/>
          <w:szCs w:val="24"/>
        </w:rPr>
        <w:t>ԹԻՎ ԵՀԳ</w:t>
      </w:r>
      <w:r w:rsidR="00A83AEC" w:rsidRPr="00A350E1">
        <w:rPr>
          <w:rStyle w:val="Bodytext21"/>
          <w:rFonts w:ascii="GHEA Grapalat" w:hAnsi="GHEA Grapalat"/>
          <w:sz w:val="24"/>
          <w:szCs w:val="24"/>
        </w:rPr>
        <w:t>1</w:t>
      </w:r>
      <w:r w:rsidRPr="00A350E1">
        <w:rPr>
          <w:rStyle w:val="Bodytext21"/>
          <w:rFonts w:ascii="GHEA Grapalat" w:hAnsi="GHEA Grapalat"/>
          <w:sz w:val="24"/>
          <w:szCs w:val="24"/>
        </w:rPr>
        <w:t>/2017/040-523 ՖԻՆԱՆՍԱՎՈՐՄԱՆ</w:t>
      </w:r>
      <w:r w:rsidR="00A350E1">
        <w:rPr>
          <w:rStyle w:val="Bodytext21"/>
          <w:rFonts w:ascii="GHEA Grapalat" w:hAnsi="GHEA Grapalat"/>
          <w:sz w:val="24"/>
          <w:szCs w:val="24"/>
        </w:rPr>
        <w:t xml:space="preserve"> </w:t>
      </w:r>
      <w:r w:rsidRPr="00A350E1">
        <w:rPr>
          <w:rStyle w:val="Bodytext21"/>
          <w:rFonts w:ascii="GHEA Grapalat" w:hAnsi="GHEA Grapalat"/>
          <w:sz w:val="24"/>
          <w:szCs w:val="24"/>
        </w:rPr>
        <w:t xml:space="preserve">ՀԱՄԱՁԱՅՆԱԳՐԻ I ՀԱՎԵԼՎԱԾ </w:t>
      </w:r>
    </w:p>
    <w:p w:rsidR="00A350E1" w:rsidRPr="00A350E1" w:rsidRDefault="00A350E1" w:rsidP="00A350E1">
      <w:pPr>
        <w:pStyle w:val="Bodytext20"/>
        <w:shd w:val="clear" w:color="auto" w:fill="auto"/>
        <w:spacing w:after="160" w:line="360" w:lineRule="auto"/>
        <w:ind w:right="-1" w:firstLine="0"/>
        <w:rPr>
          <w:rStyle w:val="Bodytext21"/>
          <w:rFonts w:ascii="GHEA Grapalat" w:hAnsi="GHEA Grapalat" w:cs="Sylfaen"/>
          <w:sz w:val="24"/>
          <w:szCs w:val="24"/>
        </w:rPr>
      </w:pPr>
    </w:p>
    <w:p w:rsidR="00C15D0A" w:rsidRPr="00A350E1" w:rsidRDefault="001A58C9" w:rsidP="00A350E1">
      <w:pPr>
        <w:pStyle w:val="Bodytext20"/>
        <w:shd w:val="clear" w:color="auto" w:fill="auto"/>
        <w:spacing w:after="160" w:line="360" w:lineRule="auto"/>
        <w:ind w:right="-1" w:firstLine="0"/>
        <w:rPr>
          <w:rFonts w:ascii="GHEA Grapalat" w:hAnsi="GHEA Grapalat" w:cs="Sylfaen"/>
          <w:sz w:val="24"/>
          <w:szCs w:val="24"/>
        </w:rPr>
      </w:pPr>
      <w:r w:rsidRPr="00A350E1">
        <w:rPr>
          <w:rStyle w:val="Bodytext29pt"/>
          <w:rFonts w:ascii="GHEA Grapalat" w:hAnsi="GHEA Grapalat"/>
          <w:sz w:val="24"/>
          <w:szCs w:val="24"/>
        </w:rPr>
        <w:t>ՏԵԽՆԻԿԱԿԱՆ ԵՎ ՎԱՐՉԱԿԱՆ ԴՐՈՒՅԹՆԵՐ</w:t>
      </w:r>
    </w:p>
    <w:tbl>
      <w:tblPr>
        <w:tblOverlap w:val="never"/>
        <w:tblW w:w="0" w:type="auto"/>
        <w:jc w:val="center"/>
        <w:tblInd w:w="-347" w:type="dxa"/>
        <w:tblLayout w:type="fixed"/>
        <w:tblCellMar>
          <w:left w:w="10" w:type="dxa"/>
          <w:right w:w="10" w:type="dxa"/>
        </w:tblCellMar>
        <w:tblLook w:val="0000"/>
      </w:tblPr>
      <w:tblGrid>
        <w:gridCol w:w="2625"/>
        <w:gridCol w:w="2978"/>
        <w:gridCol w:w="206"/>
        <w:gridCol w:w="786"/>
        <w:gridCol w:w="1276"/>
        <w:gridCol w:w="1420"/>
      </w:tblGrid>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1.</w:t>
            </w:r>
            <w:r w:rsidR="00A350E1">
              <w:rPr>
                <w:rStyle w:val="Bodytext2Bold"/>
                <w:rFonts w:ascii="GHEA Grapalat" w:hAnsi="GHEA Grapalat"/>
                <w:sz w:val="20"/>
                <w:szCs w:val="20"/>
              </w:rPr>
              <w:tab/>
            </w:r>
            <w:r w:rsidRPr="00A350E1">
              <w:rPr>
                <w:rStyle w:val="Bodytext2Bold"/>
                <w:rFonts w:ascii="GHEA Grapalat" w:hAnsi="GHEA Grapalat"/>
                <w:sz w:val="20"/>
                <w:szCs w:val="20"/>
              </w:rPr>
              <w:t>Անվանում/հիմնական ակտ/CRIS համար</w:t>
            </w:r>
          </w:p>
        </w:tc>
        <w:tc>
          <w:tcPr>
            <w:tcW w:w="6666" w:type="dxa"/>
            <w:gridSpan w:val="5"/>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Հայաստանի հետ տեխնիկական համագործակցության գործիք</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CRIS համարը՝ 2017/ 040-523</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ֆինանսավորվում է Եվրոպական հար</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անության գործիքի շրջանակներում</w:t>
            </w:r>
          </w:p>
        </w:tc>
      </w:tr>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2.</w:t>
            </w:r>
            <w:r w:rsidR="00A350E1">
              <w:rPr>
                <w:rStyle w:val="Bodytext2Bold"/>
                <w:rFonts w:ascii="GHEA Grapalat" w:hAnsi="GHEA Grapalat"/>
                <w:sz w:val="20"/>
                <w:szCs w:val="20"/>
              </w:rPr>
              <w:tab/>
            </w:r>
            <w:r w:rsidR="00822F94" w:rsidRPr="00A350E1">
              <w:rPr>
                <w:rStyle w:val="Bodytext2Bold"/>
                <w:rFonts w:ascii="GHEA Grapalat" w:hAnsi="GHEA Grapalat"/>
                <w:sz w:val="20"/>
                <w:szCs w:val="20"/>
              </w:rPr>
              <w:t>Գոտին</w:t>
            </w:r>
            <w:r w:rsidR="006E1990" w:rsidRPr="00A350E1">
              <w:rPr>
                <w:rStyle w:val="Bodytext2Bold"/>
                <w:rFonts w:ascii="GHEA Grapalat" w:hAnsi="GHEA Grapalat"/>
                <w:sz w:val="20"/>
                <w:szCs w:val="20"/>
              </w:rPr>
              <w:t>, հօգուտ որի իրականացվում է</w:t>
            </w:r>
            <w:r w:rsidR="00822F94" w:rsidRPr="00A350E1">
              <w:rPr>
                <w:rStyle w:val="Bodytext2Bold"/>
                <w:rFonts w:ascii="GHEA Grapalat" w:hAnsi="GHEA Grapalat"/>
                <w:sz w:val="20"/>
                <w:szCs w:val="20"/>
              </w:rPr>
              <w:t xml:space="preserve"> </w:t>
            </w:r>
            <w:r w:rsidRPr="00A350E1">
              <w:rPr>
                <w:rStyle w:val="Bodytext2Bold"/>
                <w:rFonts w:ascii="GHEA Grapalat" w:hAnsi="GHEA Grapalat"/>
                <w:sz w:val="20"/>
                <w:szCs w:val="20"/>
              </w:rPr>
              <w:t>Գործողություն</w:t>
            </w:r>
            <w:r w:rsidR="006E1990" w:rsidRPr="00A350E1">
              <w:rPr>
                <w:rStyle w:val="Bodytext2Bold"/>
                <w:rFonts w:ascii="GHEA Grapalat" w:hAnsi="GHEA Grapalat"/>
                <w:sz w:val="20"/>
                <w:szCs w:val="20"/>
              </w:rPr>
              <w:t xml:space="preserve">ը </w:t>
            </w:r>
            <w:r w:rsidRPr="00A350E1">
              <w:rPr>
                <w:rStyle w:val="Bodytext2Bold"/>
                <w:rFonts w:ascii="GHEA Grapalat" w:hAnsi="GHEA Grapalat"/>
                <w:sz w:val="20"/>
                <w:szCs w:val="20"/>
              </w:rPr>
              <w:t>/վայր</w:t>
            </w:r>
            <w:r w:rsidR="006E1990" w:rsidRPr="00A350E1">
              <w:rPr>
                <w:rStyle w:val="Bodytext2Bold"/>
                <w:rFonts w:ascii="GHEA Grapalat" w:hAnsi="GHEA Grapalat"/>
                <w:sz w:val="20"/>
                <w:szCs w:val="20"/>
              </w:rPr>
              <w:t>ը</w:t>
            </w:r>
          </w:p>
        </w:tc>
        <w:tc>
          <w:tcPr>
            <w:tcW w:w="6666" w:type="dxa"/>
            <w:gridSpan w:val="5"/>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Հայաստան</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Գործողությունը կատարվելու է հետ</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 xml:space="preserve">յալ վայրում՝ </w:t>
            </w:r>
            <w:r w:rsidR="00AA71C1" w:rsidRPr="00A350E1">
              <w:rPr>
                <w:rStyle w:val="Bodytext22"/>
                <w:rFonts w:ascii="GHEA Grapalat" w:hAnsi="GHEA Grapalat"/>
                <w:sz w:val="20"/>
                <w:szCs w:val="20"/>
              </w:rPr>
              <w:t xml:space="preserve">Հայաստան, </w:t>
            </w:r>
            <w:r w:rsidRPr="00A350E1">
              <w:rPr>
                <w:rStyle w:val="Bodytext22"/>
                <w:rFonts w:ascii="GHEA Grapalat" w:hAnsi="GHEA Grapalat"/>
                <w:sz w:val="20"/>
                <w:szCs w:val="20"/>
              </w:rPr>
              <w:t>Եր</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 xml:space="preserve">ան </w:t>
            </w:r>
          </w:p>
        </w:tc>
      </w:tr>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3.</w:t>
            </w:r>
            <w:r w:rsidR="00A350E1">
              <w:rPr>
                <w:rStyle w:val="Bodytext2Bold"/>
                <w:rFonts w:ascii="GHEA Grapalat" w:hAnsi="GHEA Grapalat"/>
                <w:sz w:val="20"/>
                <w:szCs w:val="20"/>
              </w:rPr>
              <w:tab/>
            </w:r>
            <w:r w:rsidRPr="00A350E1">
              <w:rPr>
                <w:rStyle w:val="Bodytext2Bold"/>
                <w:rFonts w:ascii="GHEA Grapalat" w:hAnsi="GHEA Grapalat"/>
                <w:sz w:val="20"/>
                <w:szCs w:val="20"/>
              </w:rPr>
              <w:t>Ծրագրային փաստաթուղթ</w:t>
            </w:r>
          </w:p>
        </w:tc>
        <w:tc>
          <w:tcPr>
            <w:tcW w:w="6666" w:type="dxa"/>
            <w:gridSpan w:val="5"/>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Հայաստանի</w:t>
            </w:r>
            <w:r w:rsidR="00044A13" w:rsidRPr="00A350E1">
              <w:rPr>
                <w:rStyle w:val="Bodytext22"/>
                <w:rFonts w:ascii="GHEA Grapalat" w:hAnsi="GHEA Grapalat"/>
                <w:sz w:val="20"/>
                <w:szCs w:val="20"/>
              </w:rPr>
              <w:t>՝</w:t>
            </w:r>
            <w:r w:rsidRPr="00A350E1">
              <w:rPr>
                <w:rStyle w:val="Bodytext22"/>
                <w:rFonts w:ascii="GHEA Grapalat" w:hAnsi="GHEA Grapalat"/>
                <w:sz w:val="20"/>
                <w:szCs w:val="20"/>
              </w:rPr>
              <w:t xml:space="preserve"> 2017-2020 թվականների միասնական աջակցության շրջանակ</w:t>
            </w:r>
          </w:p>
        </w:tc>
      </w:tr>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4.</w:t>
            </w:r>
            <w:r w:rsidR="00A350E1">
              <w:rPr>
                <w:rStyle w:val="Bodytext2Bold"/>
                <w:rFonts w:ascii="GHEA Grapalat" w:hAnsi="GHEA Grapalat"/>
                <w:sz w:val="20"/>
                <w:szCs w:val="20"/>
              </w:rPr>
              <w:tab/>
            </w:r>
            <w:r w:rsidR="00F455D7" w:rsidRPr="00A350E1">
              <w:rPr>
                <w:rStyle w:val="Bodytext2Bold"/>
                <w:rFonts w:ascii="GHEA Grapalat" w:hAnsi="GHEA Grapalat"/>
                <w:sz w:val="20"/>
                <w:szCs w:val="20"/>
              </w:rPr>
              <w:t>Հիմնական</w:t>
            </w:r>
            <w:r w:rsidRPr="00A350E1">
              <w:rPr>
                <w:rStyle w:val="Bodytext2Bold"/>
                <w:rFonts w:ascii="GHEA Grapalat" w:hAnsi="GHEA Grapalat"/>
                <w:sz w:val="20"/>
                <w:szCs w:val="20"/>
              </w:rPr>
              <w:t xml:space="preserve"> բնագավառ/թեմատիկ ոլորտ</w:t>
            </w:r>
          </w:p>
        </w:tc>
        <w:tc>
          <w:tcPr>
            <w:tcW w:w="3184" w:type="dxa"/>
            <w:gridSpan w:val="2"/>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Տնտեսական կառավարում</w:t>
            </w:r>
          </w:p>
        </w:tc>
        <w:tc>
          <w:tcPr>
            <w:tcW w:w="3482" w:type="dxa"/>
            <w:gridSpan w:val="3"/>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Զարգացում Օգնություն. ԱՅՈ</w:t>
            </w:r>
          </w:p>
        </w:tc>
      </w:tr>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b/>
                <w:sz w:val="20"/>
                <w:szCs w:val="20"/>
              </w:rPr>
              <w:t>5.</w:t>
            </w:r>
            <w:r w:rsidR="00A350E1">
              <w:rPr>
                <w:rStyle w:val="Bodytext22"/>
                <w:rFonts w:ascii="GHEA Grapalat" w:hAnsi="GHEA Grapalat"/>
                <w:sz w:val="20"/>
                <w:szCs w:val="20"/>
              </w:rPr>
              <w:tab/>
            </w:r>
            <w:r w:rsidR="00BE7967" w:rsidRPr="00A350E1">
              <w:rPr>
                <w:rStyle w:val="Bodytext2Bold"/>
                <w:rFonts w:ascii="GHEA Grapalat" w:hAnsi="GHEA Grapalat"/>
                <w:sz w:val="20"/>
                <w:szCs w:val="20"/>
              </w:rPr>
              <w:t>Տրամադրվող</w:t>
            </w:r>
            <w:r w:rsidRPr="00A350E1">
              <w:rPr>
                <w:rStyle w:val="Bodytext2Bold"/>
                <w:rFonts w:ascii="GHEA Grapalat" w:hAnsi="GHEA Grapalat"/>
                <w:sz w:val="20"/>
                <w:szCs w:val="20"/>
              </w:rPr>
              <w:t xml:space="preserve"> գումարները</w:t>
            </w:r>
          </w:p>
        </w:tc>
        <w:tc>
          <w:tcPr>
            <w:tcW w:w="6666" w:type="dxa"/>
            <w:gridSpan w:val="5"/>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b/>
                <w:sz w:val="20"/>
                <w:szCs w:val="20"/>
              </w:rPr>
            </w:pPr>
            <w:r w:rsidRPr="00A350E1">
              <w:rPr>
                <w:rStyle w:val="Bodytext22"/>
                <w:rFonts w:ascii="GHEA Grapalat" w:hAnsi="GHEA Grapalat"/>
                <w:sz w:val="20"/>
                <w:szCs w:val="20"/>
              </w:rPr>
              <w:t>Ընդհանուր գնահատված արժեքը`</w:t>
            </w:r>
            <w:r w:rsidR="00A350E1" w:rsidRPr="00A350E1">
              <w:rPr>
                <w:rStyle w:val="Bodytext22"/>
                <w:rFonts w:ascii="GHEA Grapalat" w:hAnsi="GHEA Grapalat"/>
                <w:sz w:val="20"/>
                <w:szCs w:val="20"/>
              </w:rPr>
              <w:t xml:space="preserve"> </w:t>
            </w:r>
            <w:r w:rsidRPr="00A350E1">
              <w:rPr>
                <w:rStyle w:val="Bodytext22"/>
                <w:rFonts w:ascii="GHEA Grapalat" w:hAnsi="GHEA Grapalat"/>
                <w:b/>
                <w:sz w:val="20"/>
                <w:szCs w:val="20"/>
              </w:rPr>
              <w:t>7 500 000 եվրո</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b/>
                <w:sz w:val="20"/>
                <w:szCs w:val="20"/>
              </w:rPr>
            </w:pPr>
            <w:r w:rsidRPr="00A350E1">
              <w:rPr>
                <w:rStyle w:val="Bodytext22"/>
                <w:rFonts w:ascii="GHEA Grapalat" w:hAnsi="GHEA Grapalat"/>
                <w:sz w:val="20"/>
                <w:szCs w:val="20"/>
              </w:rPr>
              <w:t xml:space="preserve">ԵՄ բյուջետային օժանդակության ընդհանուր գումարը՝ </w:t>
            </w:r>
            <w:r w:rsidRPr="00A350E1">
              <w:rPr>
                <w:rStyle w:val="Bodytext22"/>
                <w:rFonts w:ascii="GHEA Grapalat" w:hAnsi="GHEA Grapalat"/>
                <w:b/>
                <w:sz w:val="20"/>
                <w:szCs w:val="20"/>
              </w:rPr>
              <w:t>7 500 000 եվրո</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 xml:space="preserve">Օժանդակությունը </w:t>
            </w:r>
            <w:r w:rsidR="00832AEB" w:rsidRPr="00A350E1">
              <w:rPr>
                <w:rStyle w:val="Bodytext22"/>
                <w:rFonts w:ascii="GHEA Grapalat" w:hAnsi="GHEA Grapalat"/>
                <w:sz w:val="20"/>
                <w:szCs w:val="20"/>
              </w:rPr>
              <w:t>տրամադրվում</w:t>
            </w:r>
            <w:r w:rsidRPr="00A350E1">
              <w:rPr>
                <w:rStyle w:val="Bodytext22"/>
                <w:rFonts w:ascii="GHEA Grapalat" w:hAnsi="GHEA Grapalat"/>
                <w:sz w:val="20"/>
                <w:szCs w:val="20"/>
              </w:rPr>
              <w:t xml:space="preserve"> է </w:t>
            </w:r>
            <w:r w:rsidR="00DE43F3" w:rsidRPr="00A350E1">
              <w:rPr>
                <w:rStyle w:val="Bodytext22"/>
                <w:rFonts w:ascii="GHEA Grapalat" w:hAnsi="GHEA Grapalat"/>
                <w:sz w:val="20"/>
                <w:szCs w:val="20"/>
              </w:rPr>
              <w:t xml:space="preserve">2018 թվականի </w:t>
            </w:r>
            <w:r w:rsidRPr="00A350E1">
              <w:rPr>
                <w:rStyle w:val="Bodytext22"/>
                <w:rFonts w:ascii="GHEA Grapalat" w:hAnsi="GHEA Grapalat"/>
                <w:sz w:val="20"/>
                <w:szCs w:val="20"/>
              </w:rPr>
              <w:t>Եվրոպական միության ընդհանուր բյուջեից</w:t>
            </w:r>
            <w:r w:rsidR="00DE43F3" w:rsidRPr="00A350E1">
              <w:rPr>
                <w:rStyle w:val="Bodytext22"/>
                <w:rFonts w:ascii="GHEA Grapalat" w:hAnsi="GHEA Grapalat"/>
                <w:sz w:val="20"/>
                <w:szCs w:val="20"/>
              </w:rPr>
              <w:t>՝</w:t>
            </w:r>
            <w:r w:rsidRPr="00A350E1">
              <w:rPr>
                <w:rStyle w:val="Bodytext22"/>
                <w:rFonts w:ascii="GHEA Grapalat" w:hAnsi="GHEA Grapalat"/>
                <w:sz w:val="20"/>
                <w:szCs w:val="20"/>
              </w:rPr>
              <w:t xml:space="preserve"> </w:t>
            </w:r>
            <w:r w:rsidRPr="00A350E1">
              <w:rPr>
                <w:rStyle w:val="Bodytext22"/>
                <w:rFonts w:ascii="GHEA Grapalat" w:hAnsi="GHEA Grapalat"/>
                <w:b/>
                <w:sz w:val="20"/>
                <w:szCs w:val="20"/>
              </w:rPr>
              <w:t>7 500 000 եվրո</w:t>
            </w:r>
            <w:r w:rsidRPr="00A350E1">
              <w:rPr>
                <w:rStyle w:val="Bodytext22"/>
                <w:rFonts w:ascii="GHEA Grapalat" w:hAnsi="GHEA Grapalat"/>
                <w:sz w:val="20"/>
                <w:szCs w:val="20"/>
              </w:rPr>
              <w:t xml:space="preserve"> գումար</w:t>
            </w:r>
            <w:r w:rsidR="00DE43F3" w:rsidRPr="00A350E1">
              <w:rPr>
                <w:rStyle w:val="Bodytext22"/>
                <w:rFonts w:ascii="GHEA Grapalat" w:hAnsi="GHEA Grapalat"/>
                <w:sz w:val="20"/>
                <w:szCs w:val="20"/>
              </w:rPr>
              <w:t>ի</w:t>
            </w:r>
            <w:r w:rsidR="00A350E1" w:rsidRPr="00A350E1">
              <w:rPr>
                <w:rStyle w:val="Bodytext22"/>
                <w:rFonts w:ascii="GHEA Grapalat" w:hAnsi="GHEA Grapalat"/>
                <w:sz w:val="20"/>
                <w:szCs w:val="20"/>
              </w:rPr>
              <w:t xml:space="preserve"> </w:t>
            </w:r>
            <w:r w:rsidR="00DE43F3" w:rsidRPr="00A350E1">
              <w:rPr>
                <w:rStyle w:val="Bodytext22"/>
                <w:rFonts w:ascii="GHEA Grapalat" w:hAnsi="GHEA Grapalat"/>
                <w:sz w:val="20"/>
                <w:szCs w:val="20"/>
              </w:rPr>
              <w:t>չափով</w:t>
            </w:r>
            <w:r w:rsidRPr="00A350E1">
              <w:rPr>
                <w:rStyle w:val="Bodytext22"/>
                <w:rFonts w:ascii="GHEA Grapalat" w:hAnsi="GHEA Grapalat"/>
                <w:sz w:val="20"/>
                <w:szCs w:val="20"/>
              </w:rPr>
              <w:t xml:space="preserve">, որը հասանելի </w:t>
            </w:r>
            <w:r w:rsidR="002B7861" w:rsidRPr="00A350E1">
              <w:rPr>
                <w:rStyle w:val="Bodytext22"/>
                <w:rFonts w:ascii="GHEA Grapalat" w:hAnsi="GHEA Grapalat"/>
                <w:sz w:val="20"/>
                <w:szCs w:val="20"/>
              </w:rPr>
              <w:t>կլինի</w:t>
            </w:r>
            <w:r w:rsidRPr="00A350E1">
              <w:rPr>
                <w:rStyle w:val="Bodytext22"/>
                <w:rFonts w:ascii="GHEA Grapalat" w:hAnsi="GHEA Grapalat"/>
                <w:sz w:val="20"/>
                <w:szCs w:val="20"/>
              </w:rPr>
              <w:t xml:space="preserve"> հատկացումների համար համապատասխան բյուջեն ընդունելուց հետո:</w:t>
            </w:r>
          </w:p>
        </w:tc>
      </w:tr>
      <w:tr w:rsidR="00C15D0A" w:rsidRPr="00A350E1" w:rsidTr="00A350E1">
        <w:trPr>
          <w:jc w:val="center"/>
        </w:trPr>
        <w:tc>
          <w:tcPr>
            <w:tcW w:w="2625"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6.</w:t>
            </w:r>
            <w:r w:rsidR="00A350E1">
              <w:rPr>
                <w:rStyle w:val="Bodytext2Bold"/>
                <w:rFonts w:ascii="GHEA Grapalat" w:hAnsi="GHEA Grapalat"/>
                <w:sz w:val="20"/>
                <w:szCs w:val="20"/>
              </w:rPr>
              <w:tab/>
            </w:r>
            <w:r w:rsidRPr="00A350E1">
              <w:rPr>
                <w:rStyle w:val="Bodytext2Bold"/>
                <w:rFonts w:ascii="GHEA Grapalat" w:hAnsi="GHEA Grapalat"/>
                <w:sz w:val="20"/>
                <w:szCs w:val="20"/>
              </w:rPr>
              <w:t>Օգնության մեթոդը (մեթոդները) եւ իրականացման մեթոդը (մեթոդները)</w:t>
            </w:r>
          </w:p>
        </w:tc>
        <w:tc>
          <w:tcPr>
            <w:tcW w:w="6666" w:type="dxa"/>
            <w:gridSpan w:val="5"/>
            <w:tcBorders>
              <w:top w:val="single" w:sz="4" w:space="0" w:color="auto"/>
              <w:left w:val="single" w:sz="4" w:space="0" w:color="auto"/>
              <w:right w:val="single" w:sz="4" w:space="0" w:color="auto"/>
            </w:tcBorders>
            <w:shd w:val="clear" w:color="auto" w:fill="FFFFFF"/>
          </w:tcPr>
          <w:p w:rsidR="00A350E1" w:rsidRDefault="001A58C9" w:rsidP="00A350E1">
            <w:pPr>
              <w:pStyle w:val="Bodytext20"/>
              <w:shd w:val="clear" w:color="auto" w:fill="auto"/>
              <w:spacing w:after="120" w:line="240" w:lineRule="auto"/>
              <w:ind w:left="44" w:right="55" w:firstLine="0"/>
              <w:jc w:val="left"/>
              <w:rPr>
                <w:rStyle w:val="Bodytext22"/>
                <w:rFonts w:ascii="GHEA Grapalat" w:hAnsi="GHEA Grapalat" w:cs="Sylfaen"/>
                <w:sz w:val="20"/>
                <w:szCs w:val="20"/>
              </w:rPr>
            </w:pPr>
            <w:r w:rsidRPr="00A350E1">
              <w:rPr>
                <w:rStyle w:val="Bodytext22"/>
                <w:rFonts w:ascii="GHEA Grapalat" w:hAnsi="GHEA Grapalat"/>
                <w:sz w:val="20"/>
                <w:szCs w:val="20"/>
              </w:rPr>
              <w:t>Ծրագրի մեթոդը՝</w:t>
            </w:r>
          </w:p>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 xml:space="preserve">Ուղղակի կառավարում </w:t>
            </w:r>
          </w:p>
          <w:p w:rsidR="00C15D0A" w:rsidRPr="00A350E1" w:rsidRDefault="00A350E1" w:rsidP="00A350E1">
            <w:pPr>
              <w:pStyle w:val="Bodytext20"/>
              <w:shd w:val="clear" w:color="auto" w:fill="auto"/>
              <w:tabs>
                <w:tab w:val="left" w:pos="452"/>
              </w:tabs>
              <w:spacing w:after="120" w:line="240" w:lineRule="auto"/>
              <w:ind w:left="452" w:right="55" w:hanging="283"/>
              <w:jc w:val="left"/>
              <w:rPr>
                <w:rFonts w:ascii="GHEA Grapalat" w:hAnsi="GHEA Grapalat" w:cs="Sylfaen"/>
                <w:sz w:val="20"/>
                <w:szCs w:val="20"/>
              </w:rPr>
            </w:pPr>
            <w:r>
              <w:rPr>
                <w:rFonts w:ascii="GHEA Grapalat" w:hAnsi="GHEA Grapalat"/>
                <w:sz w:val="20"/>
                <w:szCs w:val="20"/>
              </w:rPr>
              <w:t>●</w:t>
            </w:r>
            <w:r>
              <w:rPr>
                <w:rFonts w:ascii="GHEA Grapalat" w:hAnsi="GHEA Grapalat"/>
                <w:sz w:val="20"/>
                <w:szCs w:val="20"/>
              </w:rPr>
              <w:tab/>
            </w:r>
            <w:r w:rsidR="001A58C9" w:rsidRPr="00A350E1">
              <w:rPr>
                <w:rStyle w:val="Bodytext22"/>
                <w:rFonts w:ascii="GHEA Grapalat" w:hAnsi="GHEA Grapalat"/>
                <w:sz w:val="20"/>
                <w:szCs w:val="20"/>
              </w:rPr>
              <w:t>դրամաշնորհներ՝ հայտերի ներկայացման հրավեր</w:t>
            </w:r>
          </w:p>
          <w:p w:rsidR="00C15D0A" w:rsidRPr="00A350E1" w:rsidRDefault="00A350E1" w:rsidP="00A350E1">
            <w:pPr>
              <w:pStyle w:val="Bodytext20"/>
              <w:shd w:val="clear" w:color="auto" w:fill="auto"/>
              <w:tabs>
                <w:tab w:val="left" w:pos="452"/>
              </w:tabs>
              <w:spacing w:after="120" w:line="240" w:lineRule="auto"/>
              <w:ind w:left="452" w:right="55" w:hanging="283"/>
              <w:jc w:val="left"/>
              <w:rPr>
                <w:rFonts w:ascii="GHEA Grapalat" w:hAnsi="GHEA Grapalat" w:cs="Sylfaen"/>
                <w:sz w:val="20"/>
                <w:szCs w:val="20"/>
              </w:rPr>
            </w:pPr>
            <w:r>
              <w:rPr>
                <w:rFonts w:ascii="GHEA Grapalat" w:hAnsi="GHEA Grapalat"/>
                <w:sz w:val="20"/>
                <w:szCs w:val="20"/>
              </w:rPr>
              <w:t>●</w:t>
            </w:r>
            <w:r>
              <w:rPr>
                <w:rFonts w:ascii="GHEA Grapalat" w:hAnsi="GHEA Grapalat"/>
                <w:sz w:val="20"/>
                <w:szCs w:val="20"/>
              </w:rPr>
              <w:tab/>
            </w:r>
            <w:r w:rsidR="001A58C9" w:rsidRPr="00A350E1">
              <w:rPr>
                <w:rStyle w:val="Bodytext22"/>
                <w:rFonts w:ascii="GHEA Grapalat" w:hAnsi="GHEA Grapalat"/>
                <w:sz w:val="20"/>
                <w:szCs w:val="20"/>
              </w:rPr>
              <w:t>դրամաշնորհներ՝ ուղղակի շնորհում</w:t>
            </w:r>
          </w:p>
          <w:p w:rsidR="00C15D0A" w:rsidRPr="00A350E1" w:rsidRDefault="00A350E1" w:rsidP="00A350E1">
            <w:pPr>
              <w:pStyle w:val="Bodytext20"/>
              <w:shd w:val="clear" w:color="auto" w:fill="auto"/>
              <w:tabs>
                <w:tab w:val="left" w:pos="452"/>
              </w:tabs>
              <w:spacing w:after="120" w:line="240" w:lineRule="auto"/>
              <w:ind w:left="452" w:right="55" w:hanging="283"/>
              <w:jc w:val="left"/>
              <w:rPr>
                <w:rFonts w:ascii="GHEA Grapalat" w:hAnsi="GHEA Grapalat" w:cs="Sylfaen"/>
                <w:sz w:val="20"/>
                <w:szCs w:val="20"/>
              </w:rPr>
            </w:pPr>
            <w:r>
              <w:rPr>
                <w:rFonts w:ascii="GHEA Grapalat" w:hAnsi="GHEA Grapalat"/>
                <w:sz w:val="20"/>
                <w:szCs w:val="20"/>
              </w:rPr>
              <w:t>●</w:t>
            </w:r>
            <w:r>
              <w:rPr>
                <w:rFonts w:ascii="GHEA Grapalat" w:hAnsi="GHEA Grapalat"/>
                <w:sz w:val="20"/>
                <w:szCs w:val="20"/>
              </w:rPr>
              <w:tab/>
            </w:r>
            <w:r w:rsidR="001A58C9" w:rsidRPr="00A350E1">
              <w:rPr>
                <w:rStyle w:val="Bodytext22"/>
                <w:rFonts w:ascii="GHEA Grapalat" w:hAnsi="GHEA Grapalat"/>
                <w:sz w:val="20"/>
                <w:szCs w:val="20"/>
              </w:rPr>
              <w:t>ծառայությունների ձեռքբերում</w:t>
            </w:r>
            <w:r w:rsidR="001A58C9" w:rsidRPr="00A350E1">
              <w:rPr>
                <w:rFonts w:ascii="GHEA Grapalat" w:hAnsi="GHEA Grapalat" w:cs="Sylfaen"/>
                <w:sz w:val="20"/>
                <w:szCs w:val="20"/>
              </w:rPr>
              <w:br/>
            </w:r>
            <w:r w:rsidR="001A58C9" w:rsidRPr="00A350E1">
              <w:rPr>
                <w:rFonts w:ascii="GHEA Grapalat" w:hAnsi="GHEA Grapalat"/>
                <w:sz w:val="20"/>
                <w:szCs w:val="20"/>
              </w:rPr>
              <w:t>Անուղղակի կառավարում</w:t>
            </w:r>
          </w:p>
        </w:tc>
      </w:tr>
      <w:tr w:rsidR="00C15D0A" w:rsidRPr="00A350E1" w:rsidTr="00367279">
        <w:trPr>
          <w:jc w:val="center"/>
        </w:trPr>
        <w:tc>
          <w:tcPr>
            <w:tcW w:w="2625" w:type="dxa"/>
            <w:tcBorders>
              <w:top w:val="single" w:sz="4" w:space="0" w:color="auto"/>
              <w:left w:val="single" w:sz="4" w:space="0" w:color="auto"/>
              <w:bottom w:val="single" w:sz="4" w:space="0" w:color="auto"/>
            </w:tcBorders>
            <w:shd w:val="clear" w:color="auto" w:fill="FFFFFF"/>
          </w:tcPr>
          <w:p w:rsidR="00C15D0A" w:rsidRPr="00A350E1" w:rsidRDefault="001A58C9" w:rsidP="00A350E1">
            <w:pPr>
              <w:pStyle w:val="Bodytext20"/>
              <w:shd w:val="clear" w:color="auto" w:fill="auto"/>
              <w:tabs>
                <w:tab w:val="left" w:pos="384"/>
              </w:tabs>
              <w:spacing w:after="60" w:line="240" w:lineRule="auto"/>
              <w:ind w:left="45" w:right="57" w:firstLine="0"/>
              <w:jc w:val="left"/>
              <w:rPr>
                <w:rFonts w:ascii="GHEA Grapalat" w:hAnsi="GHEA Grapalat" w:cs="Sylfaen"/>
                <w:sz w:val="20"/>
                <w:szCs w:val="20"/>
              </w:rPr>
            </w:pPr>
            <w:r w:rsidRPr="00A350E1">
              <w:rPr>
                <w:rStyle w:val="Bodytext2Bold"/>
                <w:rFonts w:ascii="GHEA Grapalat" w:hAnsi="GHEA Grapalat"/>
                <w:sz w:val="20"/>
                <w:szCs w:val="20"/>
              </w:rPr>
              <w:t>7.</w:t>
            </w:r>
            <w:r w:rsidR="00A350E1">
              <w:rPr>
                <w:rStyle w:val="Bodytext2Bold"/>
                <w:rFonts w:ascii="GHEA Grapalat" w:hAnsi="GHEA Grapalat"/>
                <w:sz w:val="20"/>
                <w:szCs w:val="20"/>
              </w:rPr>
              <w:tab/>
            </w:r>
            <w:r w:rsidRPr="00A350E1">
              <w:rPr>
                <w:rStyle w:val="Bodytext2Bold"/>
                <w:rFonts w:ascii="GHEA Grapalat" w:hAnsi="GHEA Grapalat"/>
                <w:sz w:val="20"/>
                <w:szCs w:val="20"/>
              </w:rPr>
              <w:t>ԶԱԿ (Զարգացման աջակցության կոմիտե) ծածկագիրը (ծածկագրերը)</w:t>
            </w:r>
          </w:p>
        </w:tc>
        <w:tc>
          <w:tcPr>
            <w:tcW w:w="6666" w:type="dxa"/>
            <w:gridSpan w:val="5"/>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60" w:line="240" w:lineRule="auto"/>
              <w:ind w:left="45" w:right="57" w:firstLine="0"/>
              <w:jc w:val="left"/>
              <w:rPr>
                <w:rFonts w:ascii="GHEA Grapalat" w:hAnsi="GHEA Grapalat" w:cs="Sylfaen"/>
                <w:sz w:val="20"/>
                <w:szCs w:val="20"/>
              </w:rPr>
            </w:pPr>
            <w:r w:rsidRPr="00A350E1">
              <w:rPr>
                <w:rFonts w:ascii="GHEA Grapalat" w:hAnsi="GHEA Grapalat"/>
                <w:sz w:val="20"/>
                <w:szCs w:val="20"/>
              </w:rPr>
              <w:t xml:space="preserve">15110՝ </w:t>
            </w:r>
            <w:r w:rsidRPr="00A350E1">
              <w:rPr>
                <w:rStyle w:val="Bodytext22"/>
                <w:rFonts w:ascii="GHEA Grapalat" w:hAnsi="GHEA Grapalat"/>
                <w:sz w:val="20"/>
                <w:szCs w:val="20"/>
              </w:rPr>
              <w:t xml:space="preserve">Պետական հատվածի քաղաքականություն </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 xml:space="preserve"> վարչական կառավարում</w:t>
            </w:r>
          </w:p>
          <w:p w:rsidR="00C15D0A" w:rsidRPr="00A350E1" w:rsidRDefault="001A58C9" w:rsidP="00A350E1">
            <w:pPr>
              <w:pStyle w:val="Bodytext20"/>
              <w:shd w:val="clear" w:color="auto" w:fill="auto"/>
              <w:spacing w:after="60" w:line="240" w:lineRule="auto"/>
              <w:ind w:left="45" w:right="57" w:firstLine="0"/>
              <w:jc w:val="left"/>
              <w:rPr>
                <w:rFonts w:ascii="GHEA Grapalat" w:hAnsi="GHEA Grapalat" w:cs="Sylfaen"/>
                <w:sz w:val="20"/>
                <w:szCs w:val="20"/>
              </w:rPr>
            </w:pPr>
            <w:r w:rsidRPr="00A350E1">
              <w:rPr>
                <w:rFonts w:ascii="GHEA Grapalat" w:hAnsi="GHEA Grapalat"/>
                <w:sz w:val="20"/>
                <w:szCs w:val="20"/>
              </w:rPr>
              <w:t xml:space="preserve">15111՝ </w:t>
            </w:r>
            <w:r w:rsidRPr="00A350E1">
              <w:rPr>
                <w:rStyle w:val="Bodytext22"/>
                <w:rFonts w:ascii="GHEA Grapalat" w:hAnsi="GHEA Grapalat"/>
                <w:sz w:val="20"/>
                <w:szCs w:val="20"/>
              </w:rPr>
              <w:t>Պետական ֆինանսների կառավարում</w:t>
            </w:r>
          </w:p>
          <w:p w:rsidR="002417B4" w:rsidRPr="00A350E1" w:rsidRDefault="001A58C9" w:rsidP="00A350E1">
            <w:pPr>
              <w:pStyle w:val="Bodytext20"/>
              <w:shd w:val="clear" w:color="auto" w:fill="auto"/>
              <w:spacing w:after="60" w:line="240" w:lineRule="auto"/>
              <w:ind w:left="45" w:right="57" w:firstLine="0"/>
              <w:jc w:val="left"/>
              <w:rPr>
                <w:rStyle w:val="Bodytext22"/>
                <w:rFonts w:ascii="GHEA Grapalat" w:hAnsi="GHEA Grapalat"/>
                <w:sz w:val="20"/>
                <w:szCs w:val="20"/>
              </w:rPr>
            </w:pPr>
            <w:r w:rsidRPr="00A350E1">
              <w:rPr>
                <w:rStyle w:val="Bodytext22"/>
                <w:rFonts w:ascii="GHEA Grapalat" w:hAnsi="GHEA Grapalat"/>
                <w:sz w:val="20"/>
                <w:szCs w:val="20"/>
              </w:rPr>
              <w:t xml:space="preserve">24010՝ Ֆինանսական քաղաքականություն </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 xml:space="preserve"> վարչական կառավարում </w:t>
            </w:r>
          </w:p>
          <w:p w:rsidR="00C15D0A" w:rsidRPr="00A350E1" w:rsidRDefault="001A58C9" w:rsidP="00A350E1">
            <w:pPr>
              <w:pStyle w:val="Bodytext20"/>
              <w:shd w:val="clear" w:color="auto" w:fill="auto"/>
              <w:spacing w:after="60" w:line="240" w:lineRule="auto"/>
              <w:ind w:left="45" w:right="57" w:firstLine="0"/>
              <w:jc w:val="left"/>
              <w:rPr>
                <w:rFonts w:ascii="GHEA Grapalat" w:hAnsi="GHEA Grapalat" w:cs="Sylfaen"/>
                <w:sz w:val="20"/>
                <w:szCs w:val="20"/>
              </w:rPr>
            </w:pPr>
            <w:r w:rsidRPr="00A350E1">
              <w:rPr>
                <w:rStyle w:val="Bodytext22"/>
                <w:rFonts w:ascii="GHEA Grapalat" w:hAnsi="GHEA Grapalat"/>
                <w:sz w:val="20"/>
                <w:szCs w:val="20"/>
              </w:rPr>
              <w:t xml:space="preserve">25010՝ Բիզնեսի աջակցման ծառայություններ </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 xml:space="preserve"> հաստատություններ</w:t>
            </w:r>
          </w:p>
        </w:tc>
      </w:tr>
      <w:tr w:rsidR="00C15D0A" w:rsidRPr="00A350E1" w:rsidTr="00A350E1">
        <w:trPr>
          <w:jc w:val="center"/>
        </w:trPr>
        <w:tc>
          <w:tcPr>
            <w:tcW w:w="2625" w:type="dxa"/>
            <w:vMerge w:val="restart"/>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lastRenderedPageBreak/>
              <w:t>8.</w:t>
            </w:r>
            <w:r w:rsidR="00A350E1">
              <w:rPr>
                <w:rStyle w:val="Bodytext2Bold"/>
                <w:rFonts w:ascii="GHEA Grapalat" w:hAnsi="GHEA Grapalat"/>
                <w:sz w:val="20"/>
                <w:szCs w:val="20"/>
              </w:rPr>
              <w:tab/>
            </w:r>
            <w:r w:rsidRPr="00A350E1">
              <w:rPr>
                <w:rStyle w:val="Bodytext2Bold"/>
                <w:rFonts w:ascii="GHEA Grapalat" w:hAnsi="GHEA Grapalat"/>
                <w:sz w:val="20"/>
                <w:szCs w:val="20"/>
              </w:rPr>
              <w:t>Ցուցիչներ</w:t>
            </w:r>
            <w:r w:rsidR="004803A3" w:rsidRPr="00A350E1">
              <w:rPr>
                <w:rStyle w:val="Bodytext2Bold"/>
                <w:rFonts w:ascii="GHEA Grapalat" w:hAnsi="GHEA Grapalat"/>
                <w:sz w:val="20"/>
                <w:szCs w:val="20"/>
              </w:rPr>
              <w:t>ը</w:t>
            </w:r>
            <w:r w:rsidRPr="00A350E1">
              <w:rPr>
                <w:rStyle w:val="Bodytext2Bold"/>
                <w:rFonts w:ascii="GHEA Grapalat" w:hAnsi="GHEA Grapalat"/>
                <w:sz w:val="20"/>
                <w:szCs w:val="20"/>
              </w:rPr>
              <w:t xml:space="preserve"> </w:t>
            </w: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Ընդհանուր քաղաքականության նպատակը</w:t>
            </w:r>
          </w:p>
        </w:tc>
        <w:tc>
          <w:tcPr>
            <w:tcW w:w="992" w:type="dxa"/>
            <w:gridSpan w:val="2"/>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Ոչ</w:t>
            </w:r>
            <w:r w:rsidR="00A350E1">
              <w:rPr>
                <w:rFonts w:ascii="Sylfaen" w:hAnsi="Sylfaen" w:cs="Sylfaen"/>
              </w:rPr>
              <w:t xml:space="preserve"> </w:t>
            </w:r>
            <w:r w:rsidRPr="00A350E1">
              <w:rPr>
                <w:rStyle w:val="Bodytext2Bold"/>
                <w:rFonts w:ascii="GHEA Grapalat" w:hAnsi="GHEA Grapalat"/>
                <w:sz w:val="20"/>
                <w:szCs w:val="20"/>
              </w:rPr>
              <w:t>թիրախային</w:t>
            </w:r>
          </w:p>
        </w:tc>
        <w:tc>
          <w:tcPr>
            <w:tcW w:w="1276"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Կար</w:t>
            </w:r>
            <w:r w:rsidR="001118B9" w:rsidRPr="00A350E1">
              <w:rPr>
                <w:rStyle w:val="Bodytext2Bold"/>
                <w:rFonts w:ascii="GHEA Grapalat" w:hAnsi="GHEA Grapalat"/>
                <w:sz w:val="20"/>
                <w:szCs w:val="20"/>
              </w:rPr>
              <w:t>եւ</w:t>
            </w:r>
            <w:r w:rsidRPr="00A350E1">
              <w:rPr>
                <w:rStyle w:val="Bodytext2Bold"/>
                <w:rFonts w:ascii="GHEA Grapalat" w:hAnsi="GHEA Grapalat"/>
                <w:sz w:val="20"/>
                <w:szCs w:val="20"/>
              </w:rPr>
              <w:t>որ</w:t>
            </w:r>
            <w:r w:rsidR="00A350E1">
              <w:rPr>
                <w:rFonts w:ascii="Sylfaen" w:hAnsi="Sylfaen" w:cs="Sylfaen"/>
              </w:rPr>
              <w:t xml:space="preserve"> </w:t>
            </w:r>
            <w:r w:rsidRPr="00A350E1">
              <w:rPr>
                <w:rStyle w:val="Bodytext2Bold"/>
                <w:rFonts w:ascii="GHEA Grapalat" w:hAnsi="GHEA Grapalat"/>
                <w:sz w:val="20"/>
                <w:szCs w:val="20"/>
              </w:rPr>
              <w:t>նպատակ</w:t>
            </w:r>
          </w:p>
        </w:tc>
        <w:tc>
          <w:tcPr>
            <w:tcW w:w="1420" w:type="dxa"/>
            <w:tcBorders>
              <w:top w:val="single" w:sz="4" w:space="0" w:color="auto"/>
              <w:left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Հիմնական</w:t>
            </w:r>
            <w:r w:rsidR="00A350E1">
              <w:rPr>
                <w:rFonts w:ascii="Sylfaen" w:hAnsi="Sylfaen" w:cs="Sylfaen"/>
              </w:rPr>
              <w:t xml:space="preserve"> </w:t>
            </w:r>
            <w:r w:rsidRPr="00A350E1">
              <w:rPr>
                <w:rStyle w:val="Bodytext2Bold"/>
                <w:rFonts w:ascii="GHEA Grapalat" w:hAnsi="GHEA Grapalat"/>
                <w:sz w:val="20"/>
                <w:szCs w:val="20"/>
              </w:rPr>
              <w:t>նպատակ</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Մասնակցության ակտիվացում/արդյունավետ կառավարում</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3"/>
                <w:rFonts w:ascii="GHEA Grapalat" w:hAnsi="GHEA Grapalat"/>
                <w:sz w:val="28"/>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4"/>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Աջակցություն</w:t>
            </w:r>
            <w:r w:rsidR="00B52AE9" w:rsidRPr="00A350E1">
              <w:rPr>
                <w:rStyle w:val="Bodytext22"/>
                <w:rFonts w:ascii="GHEA Grapalat" w:hAnsi="GHEA Grapalat"/>
                <w:sz w:val="20"/>
                <w:szCs w:val="20"/>
              </w:rPr>
              <w:t>՝</w:t>
            </w:r>
            <w:r w:rsidRPr="00A350E1">
              <w:rPr>
                <w:rStyle w:val="Bodytext22"/>
                <w:rFonts w:ascii="GHEA Grapalat" w:hAnsi="GHEA Grapalat"/>
                <w:sz w:val="20"/>
                <w:szCs w:val="20"/>
              </w:rPr>
              <w:t xml:space="preserve"> շրջակա միջավայրի պահպանմանը</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3"/>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3"/>
                <w:rFonts w:ascii="GHEA Grapalat" w:hAnsi="GHEA Grapalat"/>
                <w:sz w:val="28"/>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Գենդերային հավասարություն (</w:t>
            </w:r>
            <w:r w:rsidR="002417B4" w:rsidRPr="00A350E1">
              <w:rPr>
                <w:rStyle w:val="Bodytext22"/>
                <w:rFonts w:ascii="GHEA Grapalat" w:hAnsi="GHEA Grapalat"/>
                <w:sz w:val="20"/>
                <w:szCs w:val="20"/>
              </w:rPr>
              <w:t xml:space="preserve">այդ թվում՝ </w:t>
            </w:r>
            <w:r w:rsidRPr="00A350E1">
              <w:rPr>
                <w:rStyle w:val="Bodytext22"/>
                <w:rFonts w:ascii="GHEA Grapalat" w:hAnsi="GHEA Grapalat"/>
                <w:sz w:val="20"/>
                <w:szCs w:val="20"/>
              </w:rPr>
              <w:t>զարգացման ծրագրերում կանանց ներգրավվածությունը)</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2"/>
                <w:rFonts w:ascii="Sylfaen" w:hAnsi="Sylfaen"/>
                <w:sz w:val="20"/>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4"/>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4"/>
                <w:rFonts w:ascii="GHEA Grapalat" w:hAnsi="GHEA Grapalat"/>
                <w:sz w:val="28"/>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Առ</w:t>
            </w:r>
            <w:r w:rsidR="001118B9" w:rsidRPr="00A350E1">
              <w:rPr>
                <w:rStyle w:val="Bodytext22"/>
                <w:rFonts w:ascii="GHEA Grapalat" w:hAnsi="GHEA Grapalat"/>
                <w:sz w:val="20"/>
                <w:szCs w:val="20"/>
              </w:rPr>
              <w:t>եւ</w:t>
            </w:r>
            <w:r w:rsidRPr="00A350E1">
              <w:rPr>
                <w:rStyle w:val="Bodytext22"/>
                <w:rFonts w:ascii="GHEA Grapalat" w:hAnsi="GHEA Grapalat"/>
                <w:sz w:val="20"/>
                <w:szCs w:val="20"/>
              </w:rPr>
              <w:t>տրի զարգացում</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2"/>
                <w:rFonts w:ascii="GHEA Grapalat" w:hAnsi="GHEA Grapalat"/>
                <w:sz w:val="28"/>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3"/>
                <w:rFonts w:ascii="GHEA Grapalat" w:hAnsi="GHEA Grapalat"/>
                <w:sz w:val="28"/>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Վերարտադրողական, մոր, նորածնի եւ երեխայի առողջություն</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3"/>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4"/>
                <w:rFonts w:ascii="GHEA Grapalat" w:hAnsi="GHEA Grapalat"/>
                <w:sz w:val="28"/>
                <w:szCs w:val="20"/>
              </w:rPr>
              <w:t>□</w:t>
            </w:r>
          </w:p>
        </w:tc>
      </w:tr>
      <w:tr w:rsidR="00C15D0A" w:rsidRPr="00A350E1" w:rsidTr="00A350E1">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Ռիոյի կոնվենցիայի ցուցիչները</w:t>
            </w:r>
          </w:p>
        </w:tc>
        <w:tc>
          <w:tcPr>
            <w:tcW w:w="992" w:type="dxa"/>
            <w:gridSpan w:val="2"/>
            <w:tcBorders>
              <w:top w:val="single" w:sz="4" w:space="0" w:color="auto"/>
              <w:left w:val="single" w:sz="4" w:space="0" w:color="auto"/>
            </w:tcBorders>
            <w:shd w:val="clear" w:color="auto" w:fill="FFFFFF"/>
          </w:tcPr>
          <w:p w:rsidR="00C15D0A" w:rsidRPr="00A350E1" w:rsidRDefault="001A58C9" w:rsidP="00367279">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Ոչ թիրախային</w:t>
            </w:r>
          </w:p>
        </w:tc>
        <w:tc>
          <w:tcPr>
            <w:tcW w:w="1276" w:type="dxa"/>
            <w:tcBorders>
              <w:top w:val="single" w:sz="4" w:space="0" w:color="auto"/>
              <w:left w:val="single" w:sz="4" w:space="0" w:color="auto"/>
            </w:tcBorders>
            <w:shd w:val="clear" w:color="auto" w:fill="FFFFFF"/>
          </w:tcPr>
          <w:p w:rsidR="00C15D0A" w:rsidRPr="00A350E1" w:rsidRDefault="001A58C9" w:rsidP="00367279">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Կար</w:t>
            </w:r>
            <w:r w:rsidR="001118B9" w:rsidRPr="00A350E1">
              <w:rPr>
                <w:rStyle w:val="Bodytext2Bold"/>
                <w:rFonts w:ascii="GHEA Grapalat" w:hAnsi="GHEA Grapalat"/>
                <w:sz w:val="20"/>
                <w:szCs w:val="20"/>
              </w:rPr>
              <w:t>եւ</w:t>
            </w:r>
            <w:r w:rsidRPr="00A350E1">
              <w:rPr>
                <w:rStyle w:val="Bodytext2Bold"/>
                <w:rFonts w:ascii="GHEA Grapalat" w:hAnsi="GHEA Grapalat"/>
                <w:sz w:val="20"/>
                <w:szCs w:val="20"/>
              </w:rPr>
              <w:t>որ նպատակ</w:t>
            </w:r>
          </w:p>
        </w:tc>
        <w:tc>
          <w:tcPr>
            <w:tcW w:w="1420" w:type="dxa"/>
            <w:tcBorders>
              <w:top w:val="single" w:sz="4" w:space="0" w:color="auto"/>
              <w:left w:val="single" w:sz="4" w:space="0" w:color="auto"/>
              <w:right w:val="single" w:sz="4" w:space="0" w:color="auto"/>
            </w:tcBorders>
            <w:shd w:val="clear" w:color="auto" w:fill="FFFFFF"/>
          </w:tcPr>
          <w:p w:rsidR="00C15D0A" w:rsidRPr="00A350E1" w:rsidRDefault="001A58C9" w:rsidP="00367279">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Bold"/>
                <w:rFonts w:ascii="GHEA Grapalat" w:hAnsi="GHEA Grapalat"/>
                <w:sz w:val="20"/>
                <w:szCs w:val="20"/>
              </w:rPr>
              <w:t>Հիմնական նպատակ</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bottom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Կենսաբազմազանություն</w:t>
            </w:r>
          </w:p>
        </w:tc>
        <w:tc>
          <w:tcPr>
            <w:tcW w:w="992" w:type="dxa"/>
            <w:gridSpan w:val="2"/>
            <w:tcBorders>
              <w:top w:val="single" w:sz="4" w:space="0" w:color="auto"/>
              <w:left w:val="single" w:sz="4" w:space="0" w:color="auto"/>
              <w:bottom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276" w:type="dxa"/>
            <w:tcBorders>
              <w:top w:val="single" w:sz="4" w:space="0" w:color="auto"/>
              <w:left w:val="single" w:sz="4" w:space="0" w:color="auto"/>
              <w:bottom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r>
      <w:tr w:rsidR="00C15D0A" w:rsidRPr="00A350E1" w:rsidTr="008C567B">
        <w:trPr>
          <w:jc w:val="center"/>
        </w:trPr>
        <w:tc>
          <w:tcPr>
            <w:tcW w:w="2625" w:type="dxa"/>
            <w:vMerge w:val="restart"/>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Պայքար անապատացման դեմ</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Կլիմայական փոփոխությունների մեղմացում</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2"/>
                <w:rFonts w:ascii="GHEA Grapalat" w:hAnsi="GHEA Grapalat"/>
                <w:sz w:val="28"/>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r>
      <w:tr w:rsidR="00C15D0A" w:rsidRPr="00A350E1" w:rsidTr="008C567B">
        <w:trPr>
          <w:jc w:val="center"/>
        </w:trPr>
        <w:tc>
          <w:tcPr>
            <w:tcW w:w="2625" w:type="dxa"/>
            <w:vMerge/>
            <w:tcBorders>
              <w:left w:val="single" w:sz="4" w:space="0" w:color="auto"/>
            </w:tcBorders>
            <w:shd w:val="clear" w:color="auto" w:fill="FFFFFF"/>
          </w:tcPr>
          <w:p w:rsidR="00C15D0A" w:rsidRPr="00A350E1" w:rsidRDefault="00C15D0A" w:rsidP="00A350E1">
            <w:pPr>
              <w:spacing w:after="120"/>
              <w:ind w:left="44" w:right="55"/>
              <w:rPr>
                <w:rFonts w:ascii="GHEA Grapalat" w:hAnsi="GHEA Grapalat" w:cs="Sylfaen"/>
                <w:sz w:val="20"/>
                <w:szCs w:val="20"/>
              </w:rPr>
            </w:pPr>
          </w:p>
        </w:tc>
        <w:tc>
          <w:tcPr>
            <w:tcW w:w="2978" w:type="dxa"/>
            <w:tcBorders>
              <w:top w:val="single" w:sz="4" w:space="0" w:color="auto"/>
              <w:lef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2"/>
                <w:rFonts w:ascii="GHEA Grapalat" w:hAnsi="GHEA Grapalat"/>
                <w:sz w:val="20"/>
                <w:szCs w:val="20"/>
              </w:rPr>
              <w:t>Հարմարեցում</w:t>
            </w:r>
            <w:r w:rsidR="00B52AE9" w:rsidRPr="00A350E1">
              <w:rPr>
                <w:rStyle w:val="Bodytext22"/>
                <w:rFonts w:ascii="GHEA Grapalat" w:hAnsi="GHEA Grapalat"/>
                <w:sz w:val="20"/>
                <w:szCs w:val="20"/>
              </w:rPr>
              <w:t>՝</w:t>
            </w:r>
            <w:r w:rsidRPr="00A350E1">
              <w:rPr>
                <w:rStyle w:val="Bodytext22"/>
                <w:rFonts w:ascii="GHEA Grapalat" w:hAnsi="GHEA Grapalat"/>
                <w:sz w:val="20"/>
                <w:szCs w:val="20"/>
              </w:rPr>
              <w:t xml:space="preserve"> կլիմայական փոփոխություններին </w:t>
            </w:r>
          </w:p>
        </w:tc>
        <w:tc>
          <w:tcPr>
            <w:tcW w:w="992" w:type="dxa"/>
            <w:gridSpan w:val="2"/>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A350E1">
              <w:rPr>
                <w:rStyle w:val="Bodytext25"/>
                <w:rFonts w:ascii="Sylfaen" w:hAnsi="Sylfaen"/>
                <w:sz w:val="20"/>
                <w:szCs w:val="20"/>
              </w:rPr>
              <w:t>■</w:t>
            </w:r>
          </w:p>
        </w:tc>
        <w:tc>
          <w:tcPr>
            <w:tcW w:w="1276" w:type="dxa"/>
            <w:tcBorders>
              <w:top w:val="single" w:sz="4" w:space="0" w:color="auto"/>
              <w:lef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4"/>
                <w:rFonts w:ascii="GHEA Grapalat" w:hAnsi="GHEA Grapalat"/>
                <w:sz w:val="28"/>
                <w:szCs w:val="20"/>
              </w:rPr>
              <w:t>□</w:t>
            </w:r>
          </w:p>
        </w:tc>
        <w:tc>
          <w:tcPr>
            <w:tcW w:w="1420" w:type="dxa"/>
            <w:tcBorders>
              <w:top w:val="single" w:sz="4" w:space="0" w:color="auto"/>
              <w:left w:val="single" w:sz="4" w:space="0" w:color="auto"/>
              <w:right w:val="single" w:sz="4" w:space="0" w:color="auto"/>
            </w:tcBorders>
            <w:shd w:val="clear" w:color="auto" w:fill="FFFFFF"/>
            <w:vAlign w:val="center"/>
          </w:tcPr>
          <w:p w:rsidR="00C15D0A" w:rsidRPr="00A350E1" w:rsidRDefault="001A58C9" w:rsidP="008C567B">
            <w:pPr>
              <w:pStyle w:val="Bodytext20"/>
              <w:shd w:val="clear" w:color="auto" w:fill="auto"/>
              <w:spacing w:after="120" w:line="240" w:lineRule="auto"/>
              <w:ind w:left="44" w:right="55" w:firstLine="0"/>
              <w:rPr>
                <w:rFonts w:ascii="GHEA Grapalat" w:hAnsi="GHEA Grapalat" w:cs="Sylfaen"/>
                <w:sz w:val="20"/>
                <w:szCs w:val="20"/>
              </w:rPr>
            </w:pPr>
            <w:r w:rsidRPr="00367279">
              <w:rPr>
                <w:rStyle w:val="Bodytext23"/>
                <w:rFonts w:ascii="GHEA Grapalat" w:hAnsi="GHEA Grapalat"/>
                <w:sz w:val="28"/>
                <w:szCs w:val="20"/>
              </w:rPr>
              <w:t>□</w:t>
            </w:r>
          </w:p>
        </w:tc>
      </w:tr>
      <w:tr w:rsidR="00C15D0A" w:rsidRPr="00A350E1" w:rsidTr="00A350E1">
        <w:trPr>
          <w:jc w:val="center"/>
        </w:trPr>
        <w:tc>
          <w:tcPr>
            <w:tcW w:w="2625" w:type="dxa"/>
            <w:tcBorders>
              <w:top w:val="single" w:sz="4" w:space="0" w:color="auto"/>
              <w:left w:val="single" w:sz="4" w:space="0" w:color="auto"/>
              <w:bottom w:val="single" w:sz="4" w:space="0" w:color="auto"/>
            </w:tcBorders>
            <w:shd w:val="clear" w:color="auto" w:fill="FFFFFF"/>
          </w:tcPr>
          <w:p w:rsidR="00C15D0A" w:rsidRPr="00A350E1" w:rsidRDefault="001A58C9" w:rsidP="00367279">
            <w:pPr>
              <w:pStyle w:val="Bodytext20"/>
              <w:shd w:val="clear" w:color="auto" w:fill="auto"/>
              <w:tabs>
                <w:tab w:val="left" w:pos="384"/>
              </w:tabs>
              <w:spacing w:after="120" w:line="240" w:lineRule="auto"/>
              <w:ind w:left="44" w:right="55" w:firstLine="0"/>
              <w:jc w:val="left"/>
              <w:rPr>
                <w:rFonts w:ascii="GHEA Grapalat" w:hAnsi="GHEA Grapalat" w:cs="Sylfaen"/>
                <w:sz w:val="20"/>
                <w:szCs w:val="20"/>
              </w:rPr>
            </w:pPr>
            <w:r w:rsidRPr="00A350E1">
              <w:rPr>
                <w:rStyle w:val="Bodytext2Bold"/>
                <w:rFonts w:ascii="GHEA Grapalat" w:hAnsi="GHEA Grapalat"/>
                <w:sz w:val="20"/>
                <w:szCs w:val="20"/>
              </w:rPr>
              <w:t>9.</w:t>
            </w:r>
            <w:r w:rsidR="00367279">
              <w:rPr>
                <w:rStyle w:val="Bodytext2Bold"/>
                <w:rFonts w:ascii="GHEA Grapalat" w:hAnsi="GHEA Grapalat"/>
                <w:sz w:val="20"/>
                <w:szCs w:val="20"/>
              </w:rPr>
              <w:tab/>
            </w:r>
            <w:r w:rsidRPr="00A350E1">
              <w:rPr>
                <w:rStyle w:val="Bodytext2Bold"/>
                <w:rFonts w:ascii="GHEA Grapalat" w:hAnsi="GHEA Grapalat"/>
                <w:sz w:val="20"/>
                <w:szCs w:val="20"/>
              </w:rPr>
              <w:t xml:space="preserve">Գլոբալ հանրային բարիքներ եւ մարտահրավերներ (ԳՀԲՄ) թեմատիկ </w:t>
            </w:r>
            <w:r w:rsidR="004803A3" w:rsidRPr="00A350E1">
              <w:rPr>
                <w:rStyle w:val="Bodytext2Bold"/>
                <w:rFonts w:ascii="GHEA Grapalat" w:hAnsi="GHEA Grapalat"/>
                <w:sz w:val="20"/>
                <w:szCs w:val="20"/>
              </w:rPr>
              <w:t>լավագույն նմուշները</w:t>
            </w:r>
          </w:p>
        </w:tc>
        <w:tc>
          <w:tcPr>
            <w:tcW w:w="6666" w:type="dxa"/>
            <w:gridSpan w:val="5"/>
            <w:tcBorders>
              <w:top w:val="single" w:sz="4" w:space="0" w:color="auto"/>
              <w:left w:val="single" w:sz="4" w:space="0" w:color="auto"/>
              <w:bottom w:val="single" w:sz="4" w:space="0" w:color="auto"/>
              <w:right w:val="single" w:sz="4" w:space="0" w:color="auto"/>
            </w:tcBorders>
            <w:shd w:val="clear" w:color="auto" w:fill="FFFFFF"/>
          </w:tcPr>
          <w:p w:rsidR="00C15D0A" w:rsidRPr="00A350E1" w:rsidRDefault="001A58C9" w:rsidP="00A350E1">
            <w:pPr>
              <w:pStyle w:val="Bodytext20"/>
              <w:shd w:val="clear" w:color="auto" w:fill="auto"/>
              <w:spacing w:after="120" w:line="240" w:lineRule="auto"/>
              <w:ind w:left="44" w:right="55" w:firstLine="0"/>
              <w:jc w:val="left"/>
              <w:rPr>
                <w:rFonts w:ascii="GHEA Grapalat" w:hAnsi="GHEA Grapalat" w:cs="Sylfaen"/>
                <w:sz w:val="20"/>
                <w:szCs w:val="20"/>
              </w:rPr>
            </w:pPr>
            <w:r w:rsidRPr="00A350E1">
              <w:rPr>
                <w:rStyle w:val="Bodytext23"/>
                <w:rFonts w:ascii="GHEA Grapalat" w:hAnsi="GHEA Grapalat"/>
                <w:sz w:val="20"/>
                <w:szCs w:val="20"/>
              </w:rPr>
              <w:t>Առկա չեն</w:t>
            </w:r>
          </w:p>
        </w:tc>
      </w:tr>
    </w:tbl>
    <w:p w:rsidR="001A58C9" w:rsidRPr="00A350E1" w:rsidRDefault="001A58C9" w:rsidP="00A350E1">
      <w:pPr>
        <w:pStyle w:val="Heading20"/>
        <w:shd w:val="clear" w:color="auto" w:fill="auto"/>
        <w:spacing w:before="0" w:after="160" w:line="360" w:lineRule="auto"/>
        <w:ind w:right="-1"/>
        <w:outlineLvl w:val="9"/>
        <w:rPr>
          <w:rStyle w:val="Heading21"/>
          <w:rFonts w:ascii="GHEA Grapalat" w:hAnsi="GHEA Grapalat" w:cs="Sylfaen"/>
          <w:b/>
          <w:bCs/>
          <w:sz w:val="24"/>
          <w:szCs w:val="24"/>
        </w:rPr>
      </w:pPr>
    </w:p>
    <w:p w:rsidR="00C15D0A" w:rsidRPr="00A350E1" w:rsidRDefault="001A58C9" w:rsidP="00367279">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Ամփոփ նկարագիր</w:t>
      </w:r>
    </w:p>
    <w:p w:rsidR="00C15D0A" w:rsidRPr="00A350E1" w:rsidRDefault="00A1596D" w:rsidP="00367279">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Սույն </w:t>
      </w:r>
      <w:r w:rsidR="001A58C9" w:rsidRPr="00A350E1">
        <w:rPr>
          <w:rStyle w:val="Bodytext26"/>
          <w:rFonts w:ascii="GHEA Grapalat" w:hAnsi="GHEA Grapalat"/>
          <w:sz w:val="24"/>
          <w:szCs w:val="24"/>
        </w:rPr>
        <w:t xml:space="preserve">Տեխնիկական համագործակցության գործիքը (ՏՀԳ) մշակվել է Համաշխարհային բանկի (ՀԲ) ու Վերակառուցման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զարգացման եվրոպական բանկի (ՎԶԵԲ) հետ համատեղ։ Այն </w:t>
      </w:r>
      <w:r w:rsidR="006457E2" w:rsidRPr="00A350E1">
        <w:rPr>
          <w:rStyle w:val="Bodytext26"/>
          <w:rFonts w:ascii="GHEA Grapalat" w:hAnsi="GHEA Grapalat"/>
          <w:sz w:val="24"/>
          <w:szCs w:val="24"/>
        </w:rPr>
        <w:t xml:space="preserve">բխում </w:t>
      </w:r>
      <w:r w:rsidR="001A58C9" w:rsidRPr="00A350E1">
        <w:rPr>
          <w:rStyle w:val="Bodytext26"/>
          <w:rFonts w:ascii="GHEA Grapalat" w:hAnsi="GHEA Grapalat"/>
          <w:sz w:val="24"/>
          <w:szCs w:val="24"/>
        </w:rPr>
        <w:t xml:space="preserve">է </w:t>
      </w:r>
      <w:r w:rsidR="008E538E" w:rsidRPr="00A350E1">
        <w:rPr>
          <w:rStyle w:val="Bodytext26"/>
          <w:rFonts w:ascii="GHEA Grapalat" w:hAnsi="GHEA Grapalat"/>
          <w:sz w:val="24"/>
          <w:szCs w:val="24"/>
        </w:rPr>
        <w:t xml:space="preserve">երկրում </w:t>
      </w:r>
      <w:r w:rsidR="001A58C9" w:rsidRPr="00A350E1">
        <w:rPr>
          <w:rStyle w:val="Bodytext26"/>
          <w:rFonts w:ascii="GHEA Grapalat" w:hAnsi="GHEA Grapalat"/>
          <w:sz w:val="24"/>
          <w:szCs w:val="24"/>
        </w:rPr>
        <w:t xml:space="preserve">այդ կազմակերպությունների հետ համագործակցության ներկայիս </w:t>
      </w:r>
      <w:r w:rsidR="000F193F" w:rsidRPr="00A350E1">
        <w:rPr>
          <w:rStyle w:val="Bodytext26"/>
          <w:rFonts w:ascii="GHEA Grapalat" w:hAnsi="GHEA Grapalat"/>
          <w:sz w:val="24"/>
          <w:szCs w:val="24"/>
        </w:rPr>
        <w:t>իրա</w:t>
      </w:r>
      <w:r w:rsidR="001F2E74" w:rsidRPr="00A350E1">
        <w:rPr>
          <w:rStyle w:val="Bodytext26"/>
          <w:rFonts w:ascii="GHEA Grapalat" w:hAnsi="GHEA Grapalat"/>
          <w:sz w:val="24"/>
          <w:szCs w:val="24"/>
        </w:rPr>
        <w:t>վիճակից</w:t>
      </w:r>
      <w:r w:rsidR="001A58C9"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w:t>
      </w:r>
      <w:r w:rsidR="00735C1D" w:rsidRPr="00A350E1">
        <w:rPr>
          <w:rStyle w:val="Bodytext26"/>
          <w:rFonts w:ascii="GHEA Grapalat" w:hAnsi="GHEA Grapalat"/>
          <w:sz w:val="24"/>
          <w:szCs w:val="24"/>
        </w:rPr>
        <w:t xml:space="preserve">հիմնված է </w:t>
      </w:r>
      <w:r w:rsidR="001A58C9" w:rsidRPr="00A350E1">
        <w:rPr>
          <w:rStyle w:val="Bodytext26"/>
          <w:rFonts w:ascii="GHEA Grapalat" w:hAnsi="GHEA Grapalat"/>
          <w:sz w:val="24"/>
          <w:szCs w:val="24"/>
        </w:rPr>
        <w:t xml:space="preserve">Հայաստանում ԵՄ շարունակական համագործակցության վրա։ Այլ կազմակերպություններ նույնպես նշված են որպես տարածաշրջանային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ազգային մակարդակում ԵՄ </w:t>
      </w:r>
      <w:r w:rsidR="001A58C9" w:rsidRPr="00A350E1">
        <w:rPr>
          <w:rStyle w:val="Bodytext26"/>
          <w:rFonts w:ascii="GHEA Grapalat" w:hAnsi="GHEA Grapalat"/>
          <w:sz w:val="24"/>
          <w:szCs w:val="24"/>
        </w:rPr>
        <w:lastRenderedPageBreak/>
        <w:t>միջամտությունների ավելի լավ համակարգմանն ուղղված միջոցառման մաս։ Այդ կազմակերպությունները նույնպես համարվում են հնարավոր իրականացնող գործընկերներ։</w:t>
      </w:r>
    </w:p>
    <w:p w:rsidR="00C15D0A" w:rsidRPr="00A350E1" w:rsidRDefault="001A58C9" w:rsidP="00367279">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Միջամտության առաջարկվող ոլորտները համապատասխանում են Միասնական աջակցության շրջանակում (ՄԱՇ) նշված ոլորտներին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հիմնականում արտացոլում են ստոր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նշված տարբեր կազմակերպությունների փորձը, սակայն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հիմնված են ԵՄ-ի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Հայաստանի 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կնքված տարբեր համաձայնագրերի (մասնավորապես՝ ԵՄ-Հայաստան համապարփակ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ընդլայնված գործընկերության համաձայնագրի (ՀԸԳՀ)) վրա։</w:t>
      </w:r>
    </w:p>
    <w:p w:rsidR="00C15D0A" w:rsidRDefault="001A58C9" w:rsidP="00367279">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Ոլորտները կարելի է </w:t>
      </w:r>
      <w:r w:rsidR="00E142CE" w:rsidRPr="00A350E1">
        <w:rPr>
          <w:rStyle w:val="Bodytext26"/>
          <w:rFonts w:ascii="GHEA Grapalat" w:hAnsi="GHEA Grapalat"/>
          <w:sz w:val="24"/>
          <w:szCs w:val="24"/>
        </w:rPr>
        <w:t>առանձնացն</w:t>
      </w:r>
      <w:r w:rsidRPr="00A350E1">
        <w:rPr>
          <w:rStyle w:val="Bodytext26"/>
          <w:rFonts w:ascii="GHEA Grapalat" w:hAnsi="GHEA Grapalat"/>
          <w:sz w:val="24"/>
          <w:szCs w:val="24"/>
        </w:rPr>
        <w:t>ել 4</w:t>
      </w:r>
      <w:r w:rsid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հիմնական խմբերի</w:t>
      </w:r>
      <w:r w:rsidRPr="00A350E1">
        <w:rPr>
          <w:rStyle w:val="Bodytext26"/>
          <w:rFonts w:ascii="GHEA Grapalat" w:hAnsi="GHEA Grapalat"/>
          <w:sz w:val="24"/>
          <w:szCs w:val="24"/>
        </w:rPr>
        <w:t>՝ ըստ իրենց փոխկապակցվածության,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տարբեր իրականացնող գործընկերների 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փոխլրացման ամենաբարձր մակարդակն ու աշխատանքի որոշակի բաժանումն ապահովելու նպատակով։ Սկզբունքները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արտացոլում են տարբեր քաղաքական գերակայություններ (Գլոբալ ռազմավարություն, 2015</w:t>
      </w:r>
      <w:r w:rsidR="00367279">
        <w:rPr>
          <w:rStyle w:val="Bodytext26"/>
          <w:rFonts w:ascii="Courier New" w:hAnsi="Courier New" w:cs="Courier New"/>
          <w:sz w:val="24"/>
          <w:szCs w:val="24"/>
        </w:rPr>
        <w:t> </w:t>
      </w:r>
      <w:r w:rsidRPr="00A350E1">
        <w:rPr>
          <w:rStyle w:val="Bodytext26"/>
          <w:rFonts w:ascii="GHEA Grapalat" w:hAnsi="GHEA Grapalat"/>
          <w:sz w:val="24"/>
          <w:szCs w:val="24"/>
        </w:rPr>
        <w:t>թվականին Ռիգայում կայացած Ար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ելյան գործընկերության գագաթնաժողովի արդյունքում արված եզրահանգումը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մասնավորապես</w:t>
      </w:r>
      <w:r w:rsidR="00B52AE9" w:rsidRPr="00A350E1">
        <w:rPr>
          <w:rStyle w:val="Bodytext26"/>
          <w:rFonts w:ascii="GHEA Grapalat" w:hAnsi="GHEA Grapalat"/>
          <w:sz w:val="24"/>
          <w:szCs w:val="24"/>
        </w:rPr>
        <w:t>՝</w:t>
      </w:r>
      <w:r w:rsidRPr="00A350E1">
        <w:rPr>
          <w:rStyle w:val="Bodytext26"/>
          <w:rFonts w:ascii="GHEA Grapalat" w:hAnsi="GHEA Grapalat"/>
          <w:sz w:val="24"/>
          <w:szCs w:val="24"/>
        </w:rPr>
        <w:t xml:space="preserve"> 2020</w:t>
      </w:r>
      <w:r w:rsidR="00367279">
        <w:rPr>
          <w:rStyle w:val="Bodytext26"/>
          <w:rFonts w:ascii="Courier New" w:hAnsi="Courier New" w:cs="Courier New"/>
          <w:sz w:val="24"/>
          <w:szCs w:val="24"/>
        </w:rPr>
        <w:t> </w:t>
      </w:r>
      <w:r w:rsidRPr="00A350E1">
        <w:rPr>
          <w:rStyle w:val="Bodytext26"/>
          <w:rFonts w:ascii="GHEA Grapalat" w:hAnsi="GHEA Grapalat"/>
          <w:sz w:val="24"/>
          <w:szCs w:val="24"/>
        </w:rPr>
        <w:t xml:space="preserve">թվականի համար ակնկալվող արդյունքները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ՀԸԳՀ)։</w:t>
      </w:r>
    </w:p>
    <w:p w:rsidR="00367279" w:rsidRPr="00A350E1" w:rsidRDefault="00367279" w:rsidP="003F7011">
      <w:pPr>
        <w:pStyle w:val="Bodytext20"/>
        <w:shd w:val="clear" w:color="auto" w:fill="auto"/>
        <w:spacing w:after="160" w:line="336" w:lineRule="auto"/>
        <w:ind w:firstLine="567"/>
        <w:jc w:val="both"/>
        <w:rPr>
          <w:rFonts w:ascii="GHEA Grapalat" w:hAnsi="GHEA Grapalat" w:cs="Sylfaen"/>
          <w:sz w:val="24"/>
          <w:szCs w:val="24"/>
        </w:rPr>
      </w:pPr>
    </w:p>
    <w:p w:rsidR="00C15D0A" w:rsidRPr="00A350E1" w:rsidRDefault="001A58C9" w:rsidP="003F7011">
      <w:pPr>
        <w:pStyle w:val="Heading20"/>
        <w:shd w:val="clear" w:color="auto" w:fill="auto"/>
        <w:tabs>
          <w:tab w:val="left" w:pos="1134"/>
        </w:tabs>
        <w:spacing w:before="0" w:after="160" w:line="336" w:lineRule="auto"/>
        <w:ind w:firstLine="567"/>
        <w:jc w:val="left"/>
        <w:outlineLvl w:val="9"/>
        <w:rPr>
          <w:rFonts w:ascii="GHEA Grapalat" w:hAnsi="GHEA Grapalat" w:cs="Sylfaen"/>
          <w:sz w:val="24"/>
          <w:szCs w:val="24"/>
        </w:rPr>
      </w:pPr>
      <w:r w:rsidRPr="00A350E1">
        <w:rPr>
          <w:rFonts w:ascii="GHEA Grapalat" w:hAnsi="GHEA Grapalat"/>
          <w:sz w:val="24"/>
          <w:szCs w:val="24"/>
          <w:u w:val="single"/>
        </w:rPr>
        <w:t>I.</w:t>
      </w:r>
      <w:r w:rsidR="00367279">
        <w:rPr>
          <w:rFonts w:ascii="GHEA Grapalat" w:hAnsi="GHEA Grapalat"/>
          <w:sz w:val="24"/>
          <w:szCs w:val="24"/>
          <w:u w:val="single"/>
        </w:rPr>
        <w:tab/>
      </w:r>
      <w:r w:rsidRPr="00A350E1">
        <w:rPr>
          <w:rStyle w:val="Heading22"/>
          <w:rFonts w:ascii="GHEA Grapalat" w:hAnsi="GHEA Grapalat"/>
          <w:b/>
          <w:sz w:val="24"/>
          <w:szCs w:val="24"/>
        </w:rPr>
        <w:t xml:space="preserve">Տնտեսական կառավարում. Պետական </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 մասնավոր ներդրումների ներգրավում</w:t>
      </w:r>
    </w:p>
    <w:p w:rsidR="00C15D0A" w:rsidRPr="00A350E1" w:rsidRDefault="00367279" w:rsidP="003F7011">
      <w:pPr>
        <w:pStyle w:val="Bodytext40"/>
        <w:shd w:val="clear" w:color="auto" w:fill="auto"/>
        <w:tabs>
          <w:tab w:val="left" w:pos="1134"/>
        </w:tabs>
        <w:spacing w:after="160" w:line="336" w:lineRule="auto"/>
        <w:ind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Աջակցություն</w:t>
      </w:r>
      <w:r w:rsidR="00B52AE9" w:rsidRPr="00A350E1">
        <w:rPr>
          <w:rStyle w:val="Bodytext41"/>
          <w:rFonts w:ascii="GHEA Grapalat" w:hAnsi="GHEA Grapalat"/>
          <w:i/>
          <w:sz w:val="24"/>
          <w:szCs w:val="24"/>
        </w:rPr>
        <w:t>՝</w:t>
      </w:r>
      <w:r w:rsidR="001A58C9" w:rsidRPr="00A350E1">
        <w:rPr>
          <w:rStyle w:val="Bodytext41"/>
          <w:rFonts w:ascii="GHEA Grapalat" w:hAnsi="GHEA Grapalat"/>
          <w:i/>
          <w:sz w:val="24"/>
          <w:szCs w:val="24"/>
        </w:rPr>
        <w:t xml:space="preserve"> պետական ներդրումների </w:t>
      </w:r>
      <w:r w:rsidR="001118B9" w:rsidRPr="00A350E1">
        <w:rPr>
          <w:rStyle w:val="Bodytext41"/>
          <w:rFonts w:ascii="GHEA Grapalat" w:hAnsi="GHEA Grapalat"/>
          <w:i/>
          <w:sz w:val="24"/>
          <w:szCs w:val="24"/>
        </w:rPr>
        <w:t>եւ</w:t>
      </w:r>
      <w:r w:rsidR="001A58C9" w:rsidRPr="00A350E1">
        <w:rPr>
          <w:rStyle w:val="Bodytext41"/>
          <w:rFonts w:ascii="GHEA Grapalat" w:hAnsi="GHEA Grapalat"/>
          <w:i/>
          <w:sz w:val="24"/>
          <w:szCs w:val="24"/>
        </w:rPr>
        <w:t xml:space="preserve"> պարտքի կառավարման </w:t>
      </w:r>
      <w:r w:rsidR="00ED29CD" w:rsidRPr="00A350E1">
        <w:rPr>
          <w:rStyle w:val="Bodytext41"/>
          <w:rFonts w:ascii="GHEA Grapalat" w:hAnsi="GHEA Grapalat"/>
          <w:i/>
          <w:sz w:val="24"/>
          <w:szCs w:val="24"/>
        </w:rPr>
        <w:t>ոլորտ</w:t>
      </w:r>
      <w:r w:rsidR="00AF461A" w:rsidRPr="00A350E1">
        <w:rPr>
          <w:rStyle w:val="Bodytext41"/>
          <w:rFonts w:ascii="GHEA Grapalat" w:hAnsi="GHEA Grapalat"/>
          <w:i/>
          <w:sz w:val="24"/>
          <w:szCs w:val="24"/>
        </w:rPr>
        <w:t>ին</w:t>
      </w:r>
    </w:p>
    <w:p w:rsidR="00C15D0A" w:rsidRPr="00A350E1" w:rsidRDefault="00367279" w:rsidP="003F7011">
      <w:pPr>
        <w:pStyle w:val="Bodytext40"/>
        <w:shd w:val="clear" w:color="auto" w:fill="auto"/>
        <w:tabs>
          <w:tab w:val="left" w:pos="1134"/>
        </w:tabs>
        <w:spacing w:after="160" w:line="336" w:lineRule="auto"/>
        <w:ind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 xml:space="preserve">«Պետական-մասնավոր գործընկերության մասին» (ՊՄԳ) համընդհանուր օրենք </w:t>
      </w:r>
      <w:r w:rsidR="001118B9" w:rsidRPr="00A350E1">
        <w:rPr>
          <w:rStyle w:val="Bodytext41"/>
          <w:rFonts w:ascii="GHEA Grapalat" w:hAnsi="GHEA Grapalat"/>
          <w:i/>
          <w:sz w:val="24"/>
          <w:szCs w:val="24"/>
        </w:rPr>
        <w:t>եւ</w:t>
      </w:r>
      <w:r w:rsidR="001A58C9" w:rsidRPr="00A350E1">
        <w:rPr>
          <w:rStyle w:val="Bodytext41"/>
          <w:rFonts w:ascii="GHEA Grapalat" w:hAnsi="GHEA Grapalat"/>
          <w:i/>
          <w:sz w:val="24"/>
          <w:szCs w:val="24"/>
        </w:rPr>
        <w:t xml:space="preserve"> կիրարկում</w:t>
      </w:r>
    </w:p>
    <w:p w:rsidR="00C15D0A" w:rsidRPr="00A350E1" w:rsidRDefault="00367279" w:rsidP="003F7011">
      <w:pPr>
        <w:pStyle w:val="Bodytext40"/>
        <w:shd w:val="clear" w:color="auto" w:fill="auto"/>
        <w:tabs>
          <w:tab w:val="left" w:pos="1134"/>
        </w:tabs>
        <w:spacing w:after="160" w:line="336" w:lineRule="auto"/>
        <w:ind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«Պետական գնումների մասին» նոր օրենքի կիրարկում</w:t>
      </w:r>
    </w:p>
    <w:p w:rsidR="00C15D0A" w:rsidRDefault="00367279" w:rsidP="003F7011">
      <w:pPr>
        <w:pStyle w:val="Bodytext40"/>
        <w:shd w:val="clear" w:color="auto" w:fill="auto"/>
        <w:tabs>
          <w:tab w:val="left" w:pos="1134"/>
        </w:tabs>
        <w:spacing w:after="160" w:line="336" w:lineRule="auto"/>
        <w:ind w:firstLine="567"/>
        <w:rPr>
          <w:rStyle w:val="Bodytext41"/>
          <w:rFonts w:ascii="GHEA Grapalat" w:hAnsi="GHEA Grapalat"/>
          <w:i/>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Աջակցություն</w:t>
      </w:r>
      <w:r w:rsidR="00B52AE9" w:rsidRPr="00A350E1">
        <w:rPr>
          <w:rStyle w:val="Bodytext41"/>
          <w:rFonts w:ascii="GHEA Grapalat" w:hAnsi="GHEA Grapalat"/>
          <w:i/>
          <w:sz w:val="24"/>
          <w:szCs w:val="24"/>
        </w:rPr>
        <w:t>՝</w:t>
      </w:r>
      <w:r w:rsidR="001A58C9" w:rsidRPr="00A350E1">
        <w:rPr>
          <w:rStyle w:val="Bodytext41"/>
          <w:rFonts w:ascii="GHEA Grapalat" w:hAnsi="GHEA Grapalat"/>
          <w:i/>
          <w:sz w:val="24"/>
          <w:szCs w:val="24"/>
        </w:rPr>
        <w:t xml:space="preserve"> տեղական արժույթի </w:t>
      </w:r>
      <w:r w:rsidR="001118B9" w:rsidRPr="00A350E1">
        <w:rPr>
          <w:rStyle w:val="Bodytext41"/>
          <w:rFonts w:ascii="GHEA Grapalat" w:hAnsi="GHEA Grapalat"/>
          <w:i/>
          <w:sz w:val="24"/>
          <w:szCs w:val="24"/>
        </w:rPr>
        <w:t>եւ</w:t>
      </w:r>
      <w:r w:rsidR="001A58C9" w:rsidRPr="00A350E1">
        <w:rPr>
          <w:rStyle w:val="Bodytext41"/>
          <w:rFonts w:ascii="GHEA Grapalat" w:hAnsi="GHEA Grapalat"/>
          <w:i/>
          <w:sz w:val="24"/>
          <w:szCs w:val="24"/>
        </w:rPr>
        <w:t xml:space="preserve"> կապիտալի շուկայի զարգացման ուղղությամբ</w:t>
      </w:r>
    </w:p>
    <w:p w:rsidR="00C15D0A" w:rsidRPr="00A350E1" w:rsidRDefault="001A58C9" w:rsidP="00367279">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u w:val="single"/>
        </w:rPr>
        <w:lastRenderedPageBreak/>
        <w:t>II.</w:t>
      </w:r>
      <w:r w:rsidR="00367279">
        <w:rPr>
          <w:rFonts w:ascii="GHEA Grapalat" w:hAnsi="GHEA Grapalat"/>
          <w:sz w:val="24"/>
          <w:szCs w:val="24"/>
          <w:u w:val="single"/>
        </w:rPr>
        <w:tab/>
      </w:r>
      <w:r w:rsidRPr="00A350E1">
        <w:rPr>
          <w:rStyle w:val="Heading22"/>
          <w:rFonts w:ascii="GHEA Grapalat" w:hAnsi="GHEA Grapalat"/>
          <w:b/>
          <w:sz w:val="24"/>
          <w:szCs w:val="24"/>
        </w:rPr>
        <w:t xml:space="preserve">Բիզնես </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 ներդրումային միջավայր </w:t>
      </w:r>
    </w:p>
    <w:p w:rsidR="00C15D0A" w:rsidRPr="00A350E1" w:rsidRDefault="00367279" w:rsidP="00367279">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Աջակցություն</w:t>
      </w:r>
      <w:r w:rsidR="00B52AE9" w:rsidRPr="00A350E1">
        <w:rPr>
          <w:rStyle w:val="Bodytext41"/>
          <w:rFonts w:ascii="GHEA Grapalat" w:hAnsi="GHEA Grapalat"/>
          <w:i/>
          <w:sz w:val="24"/>
          <w:szCs w:val="24"/>
        </w:rPr>
        <w:t>՝</w:t>
      </w:r>
      <w:r w:rsidR="001A58C9" w:rsidRPr="00A350E1">
        <w:rPr>
          <w:rStyle w:val="Bodytext41"/>
          <w:rFonts w:ascii="GHEA Grapalat" w:hAnsi="GHEA Grapalat"/>
          <w:i/>
          <w:sz w:val="24"/>
          <w:szCs w:val="24"/>
        </w:rPr>
        <w:t xml:space="preserve"> Կարգավորման ազդեցության գնահատման (ԿԱԳ) ուղղությամբ </w:t>
      </w:r>
    </w:p>
    <w:p w:rsidR="00C15D0A" w:rsidRPr="00A350E1" w:rsidRDefault="00367279" w:rsidP="00367279">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«Գործարարների շահերի պաշտպանի» գործառույթների սահմանում</w:t>
      </w:r>
    </w:p>
    <w:p w:rsidR="00C15D0A" w:rsidRPr="00A350E1" w:rsidRDefault="00367279" w:rsidP="00367279">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Աջակցություն</w:t>
      </w:r>
      <w:r w:rsidR="00B52AE9" w:rsidRPr="00A350E1">
        <w:rPr>
          <w:rStyle w:val="Bodytext41"/>
          <w:rFonts w:ascii="GHEA Grapalat" w:hAnsi="GHEA Grapalat"/>
          <w:i/>
          <w:sz w:val="24"/>
          <w:szCs w:val="24"/>
        </w:rPr>
        <w:t>՝</w:t>
      </w:r>
      <w:r w:rsidR="001A58C9" w:rsidRPr="00A350E1">
        <w:rPr>
          <w:rStyle w:val="Bodytext41"/>
          <w:rFonts w:ascii="GHEA Grapalat" w:hAnsi="GHEA Grapalat"/>
          <w:i/>
          <w:sz w:val="24"/>
          <w:szCs w:val="24"/>
        </w:rPr>
        <w:t xml:space="preserve"> ՓՄՁ-ների համար բիզնես միջավայրի էկոհամակարգին</w:t>
      </w:r>
    </w:p>
    <w:p w:rsidR="00C15D0A" w:rsidRDefault="00367279" w:rsidP="00367279">
      <w:pPr>
        <w:pStyle w:val="Bodytext40"/>
        <w:shd w:val="clear" w:color="auto" w:fill="auto"/>
        <w:tabs>
          <w:tab w:val="left" w:pos="1134"/>
        </w:tabs>
        <w:spacing w:after="160" w:line="360" w:lineRule="auto"/>
        <w:ind w:right="-1" w:firstLine="567"/>
        <w:rPr>
          <w:rStyle w:val="Bodytext41"/>
          <w:rFonts w:ascii="GHEA Grapalat" w:hAnsi="GHEA Grapalat"/>
          <w:i/>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Ռիսկերի գնահատման վրա հիմնված տեսչական բարեփոխման ամփոփում</w:t>
      </w:r>
    </w:p>
    <w:p w:rsidR="00367279" w:rsidRPr="00A350E1" w:rsidRDefault="00367279" w:rsidP="00A350E1">
      <w:pPr>
        <w:pStyle w:val="Bodytext40"/>
        <w:shd w:val="clear" w:color="auto" w:fill="auto"/>
        <w:spacing w:after="160" w:line="360" w:lineRule="auto"/>
        <w:ind w:right="-1"/>
        <w:rPr>
          <w:rFonts w:ascii="GHEA Grapalat" w:hAnsi="GHEA Grapalat" w:cs="Sylfaen"/>
          <w:sz w:val="24"/>
          <w:szCs w:val="24"/>
        </w:rPr>
      </w:pPr>
    </w:p>
    <w:p w:rsidR="00C15D0A" w:rsidRPr="00A350E1" w:rsidRDefault="001A58C9" w:rsidP="00367279">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u w:val="single"/>
        </w:rPr>
        <w:t>III.</w:t>
      </w:r>
      <w:r w:rsidR="00367279">
        <w:rPr>
          <w:rFonts w:ascii="GHEA Grapalat" w:hAnsi="GHEA Grapalat"/>
          <w:sz w:val="24"/>
          <w:szCs w:val="24"/>
          <w:u w:val="single"/>
        </w:rPr>
        <w:tab/>
      </w:r>
      <w:r w:rsidRPr="00A350E1">
        <w:rPr>
          <w:rStyle w:val="Heading22"/>
          <w:rFonts w:ascii="GHEA Grapalat" w:hAnsi="GHEA Grapalat"/>
          <w:b/>
          <w:sz w:val="24"/>
          <w:szCs w:val="24"/>
        </w:rPr>
        <w:t>Առ</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տրի </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 շուկայի հնարավորություններ/մատչելիություն</w:t>
      </w:r>
    </w:p>
    <w:p w:rsidR="00C15D0A" w:rsidRPr="00A350E1" w:rsidRDefault="00367279" w:rsidP="00367279">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Մտավոր սեփականության իրավունք</w:t>
      </w:r>
    </w:p>
    <w:p w:rsidR="00C15D0A" w:rsidRPr="00A350E1" w:rsidRDefault="00367279" w:rsidP="00367279">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Մաքսային ոլորտ</w:t>
      </w:r>
    </w:p>
    <w:p w:rsidR="00C15D0A" w:rsidRDefault="00367279" w:rsidP="00367279">
      <w:pPr>
        <w:pStyle w:val="Bodytext40"/>
        <w:shd w:val="clear" w:color="auto" w:fill="auto"/>
        <w:tabs>
          <w:tab w:val="left" w:pos="1134"/>
        </w:tabs>
        <w:spacing w:after="160" w:line="360" w:lineRule="auto"/>
        <w:ind w:right="-1" w:firstLine="567"/>
        <w:rPr>
          <w:rStyle w:val="Bodytext42"/>
          <w:rFonts w:ascii="GHEA Grapalat" w:hAnsi="GHEA Grapalat"/>
          <w:i/>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Որակի ենթակառուցվածք</w:t>
      </w:r>
      <w:r w:rsidR="001A58C9" w:rsidRPr="00A350E1">
        <w:rPr>
          <w:rStyle w:val="Bodytext42"/>
          <w:rFonts w:ascii="GHEA Grapalat" w:hAnsi="GHEA Grapalat"/>
          <w:i/>
          <w:sz w:val="24"/>
          <w:szCs w:val="24"/>
        </w:rPr>
        <w:t>(ՈԵ)</w:t>
      </w:r>
    </w:p>
    <w:p w:rsidR="00367279" w:rsidRPr="00A350E1" w:rsidRDefault="00367279" w:rsidP="00A350E1">
      <w:pPr>
        <w:pStyle w:val="Bodytext40"/>
        <w:shd w:val="clear" w:color="auto" w:fill="auto"/>
        <w:spacing w:after="160" w:line="360" w:lineRule="auto"/>
        <w:ind w:right="-1"/>
        <w:rPr>
          <w:rFonts w:ascii="GHEA Grapalat" w:hAnsi="GHEA Grapalat" w:cs="Sylfaen"/>
          <w:sz w:val="24"/>
          <w:szCs w:val="24"/>
        </w:rPr>
      </w:pPr>
    </w:p>
    <w:p w:rsidR="00C15D0A" w:rsidRPr="00A350E1" w:rsidRDefault="001A58C9" w:rsidP="00367279">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u w:val="single"/>
        </w:rPr>
        <w:t>IV.</w:t>
      </w:r>
      <w:r w:rsidR="00367279">
        <w:rPr>
          <w:rFonts w:ascii="GHEA Grapalat" w:hAnsi="GHEA Grapalat"/>
          <w:sz w:val="24"/>
          <w:szCs w:val="24"/>
          <w:u w:val="single"/>
        </w:rPr>
        <w:tab/>
      </w:r>
      <w:r w:rsidRPr="00A350E1">
        <w:rPr>
          <w:rStyle w:val="Heading22"/>
          <w:rFonts w:ascii="GHEA Grapalat" w:hAnsi="GHEA Grapalat"/>
          <w:b/>
          <w:sz w:val="24"/>
          <w:szCs w:val="24"/>
        </w:rPr>
        <w:t xml:space="preserve">Հաղորդակցություն </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 էներգիա</w:t>
      </w:r>
    </w:p>
    <w:p w:rsidR="00C15D0A" w:rsidRPr="00A350E1" w:rsidRDefault="00617988" w:rsidP="00617988">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 xml:space="preserve">Եվրոպական ընդհանուր ավիացիոն գոտու ավիացիոն աջակցության տրամադրում </w:t>
      </w:r>
    </w:p>
    <w:p w:rsidR="00C15D0A" w:rsidRPr="00A350E1" w:rsidRDefault="00617988" w:rsidP="00617988">
      <w:pPr>
        <w:pStyle w:val="Bodytext40"/>
        <w:shd w:val="clear" w:color="auto" w:fill="auto"/>
        <w:tabs>
          <w:tab w:val="left" w:pos="1134"/>
        </w:tabs>
        <w:spacing w:after="160" w:line="360" w:lineRule="auto"/>
        <w:ind w:right="-1" w:firstLine="567"/>
        <w:rPr>
          <w:rFonts w:ascii="GHEA Grapalat" w:hAnsi="GHEA Grapalat" w:cs="Sylfaen"/>
          <w:sz w:val="24"/>
          <w:szCs w:val="24"/>
        </w:rPr>
      </w:pPr>
      <w:r>
        <w:rPr>
          <w:rFonts w:ascii="GHEA Grapalat" w:hAnsi="GHEA Grapalat"/>
          <w:i w:val="0"/>
          <w:sz w:val="24"/>
          <w:szCs w:val="24"/>
        </w:rPr>
        <w:t>●</w:t>
      </w:r>
      <w:r>
        <w:rPr>
          <w:rFonts w:ascii="GHEA Grapalat" w:hAnsi="GHEA Grapalat"/>
          <w:i w:val="0"/>
          <w:sz w:val="24"/>
          <w:szCs w:val="24"/>
        </w:rPr>
        <w:tab/>
      </w:r>
      <w:r w:rsidR="001A58C9" w:rsidRPr="00A350E1">
        <w:rPr>
          <w:rStyle w:val="Bodytext41"/>
          <w:rFonts w:ascii="GHEA Grapalat" w:hAnsi="GHEA Grapalat"/>
          <w:i/>
          <w:sz w:val="24"/>
          <w:szCs w:val="24"/>
        </w:rPr>
        <w:t xml:space="preserve">Էներգաարդյունավետության </w:t>
      </w:r>
      <w:r w:rsidR="001118B9" w:rsidRPr="00A350E1">
        <w:rPr>
          <w:rStyle w:val="Bodytext41"/>
          <w:rFonts w:ascii="GHEA Grapalat" w:hAnsi="GHEA Grapalat"/>
          <w:i/>
          <w:sz w:val="24"/>
          <w:szCs w:val="24"/>
        </w:rPr>
        <w:t>եւ</w:t>
      </w:r>
      <w:r w:rsidR="001A58C9" w:rsidRPr="00A350E1">
        <w:rPr>
          <w:rStyle w:val="Bodytext41"/>
          <w:rFonts w:ascii="GHEA Grapalat" w:hAnsi="GHEA Grapalat"/>
          <w:i/>
          <w:sz w:val="24"/>
          <w:szCs w:val="24"/>
        </w:rPr>
        <w:t xml:space="preserve"> վերականգնվող էներգիայի շուկայի զարգացում</w:t>
      </w:r>
    </w:p>
    <w:p w:rsidR="00617988" w:rsidRDefault="00617988" w:rsidP="00A350E1">
      <w:pPr>
        <w:pStyle w:val="Bodytext20"/>
        <w:shd w:val="clear" w:color="auto" w:fill="auto"/>
        <w:spacing w:after="160" w:line="360" w:lineRule="auto"/>
        <w:ind w:right="-1" w:firstLine="0"/>
        <w:jc w:val="both"/>
        <w:rPr>
          <w:rStyle w:val="Bodytext26"/>
          <w:rFonts w:ascii="GHEA Grapalat" w:hAnsi="GHEA Grapalat"/>
          <w:sz w:val="24"/>
          <w:szCs w:val="24"/>
        </w:rPr>
      </w:pP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Վերոնշյալ ոլորտներին աջակցություն ցուցաբերելուց բացի</w:t>
      </w:r>
      <w:r w:rsidR="00B52AE9" w:rsidRPr="00A350E1">
        <w:rPr>
          <w:rStyle w:val="Bodytext26"/>
          <w:rFonts w:ascii="GHEA Grapalat" w:hAnsi="GHEA Grapalat"/>
          <w:sz w:val="24"/>
          <w:szCs w:val="24"/>
        </w:rPr>
        <w:t>՝</w:t>
      </w:r>
      <w:r w:rsidRPr="00A350E1">
        <w:rPr>
          <w:rStyle w:val="Bodytext26"/>
          <w:rFonts w:ascii="GHEA Grapalat" w:hAnsi="GHEA Grapalat"/>
          <w:sz w:val="24"/>
          <w:szCs w:val="24"/>
        </w:rPr>
        <w:t xml:space="preserve"> Թվինինգ ծրագրի միջոցով գործողության մեջ կարող են ներառվել Համապարփակ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ընդլայնված գործընկերության համաձայնագրի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Հայաստանի հետ գործընկերության առաջնահերթությունների իրականացման համար կար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որ համարվող այլ ոլորտներ։</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lastRenderedPageBreak/>
        <w:t xml:space="preserve">Սույն գործողության համար դիտարկվող մեթոդներն են Թվինինգ գործիքը, միջազգային կազմակերպությունների հետ </w:t>
      </w:r>
      <w:r w:rsidR="00E142CE" w:rsidRPr="00333214">
        <w:rPr>
          <w:rStyle w:val="Bodytext26"/>
          <w:rFonts w:ascii="GHEA Grapalat" w:hAnsi="GHEA Grapalat"/>
          <w:sz w:val="24"/>
          <w:szCs w:val="24"/>
        </w:rPr>
        <w:t>ՊԱԳՈԴԱ</w:t>
      </w:r>
      <w:r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Տեխնիկական աջակցության հետ կապված գնումները (ծառայություների մատուցման պայմանագրեր)։</w:t>
      </w:r>
    </w:p>
    <w:p w:rsidR="00617988" w:rsidRPr="00A350E1" w:rsidRDefault="00617988" w:rsidP="00A350E1">
      <w:pPr>
        <w:pStyle w:val="Bodytext20"/>
        <w:shd w:val="clear" w:color="auto" w:fill="auto"/>
        <w:spacing w:after="160" w:line="360" w:lineRule="auto"/>
        <w:ind w:right="-1" w:firstLine="0"/>
        <w:jc w:val="both"/>
        <w:rPr>
          <w:rFonts w:ascii="GHEA Grapalat" w:hAnsi="GHEA Grapalat" w:cs="Sylfaen"/>
          <w:sz w:val="24"/>
          <w:szCs w:val="24"/>
        </w:rPr>
      </w:pPr>
    </w:p>
    <w:p w:rsidR="00C15D0A" w:rsidRDefault="001A58C9" w:rsidP="003F7011">
      <w:pPr>
        <w:pStyle w:val="Heading20"/>
        <w:shd w:val="clear" w:color="auto" w:fill="auto"/>
        <w:tabs>
          <w:tab w:val="left" w:pos="1134"/>
        </w:tabs>
        <w:spacing w:before="0" w:after="160" w:line="360" w:lineRule="auto"/>
        <w:ind w:right="-1" w:firstLine="567"/>
        <w:jc w:val="left"/>
        <w:outlineLvl w:val="9"/>
        <w:rPr>
          <w:rStyle w:val="Heading21"/>
          <w:rFonts w:ascii="GHEA Grapalat" w:hAnsi="GHEA Grapalat"/>
          <w:b/>
          <w:sz w:val="24"/>
          <w:szCs w:val="24"/>
        </w:rPr>
      </w:pPr>
      <w:r w:rsidRPr="00A350E1">
        <w:rPr>
          <w:rStyle w:val="Heading21"/>
          <w:rFonts w:ascii="GHEA Grapalat" w:hAnsi="GHEA Grapalat"/>
          <w:b/>
          <w:sz w:val="24"/>
          <w:szCs w:val="24"/>
        </w:rPr>
        <w:t>1.</w:t>
      </w:r>
      <w:r w:rsidR="00617988">
        <w:rPr>
          <w:rStyle w:val="Heading21"/>
          <w:rFonts w:ascii="GHEA Grapalat" w:hAnsi="GHEA Grapalat"/>
          <w:b/>
          <w:sz w:val="24"/>
          <w:szCs w:val="24"/>
        </w:rPr>
        <w:tab/>
      </w:r>
      <w:r w:rsidRPr="00A350E1">
        <w:rPr>
          <w:rStyle w:val="Heading21"/>
          <w:rFonts w:ascii="GHEA Grapalat" w:hAnsi="GHEA Grapalat"/>
          <w:b/>
          <w:sz w:val="24"/>
          <w:szCs w:val="24"/>
        </w:rPr>
        <w:t>Գործողության նկարագիրը</w:t>
      </w:r>
    </w:p>
    <w:p w:rsidR="00617988" w:rsidRPr="00A350E1" w:rsidRDefault="00617988" w:rsidP="003F7011">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p>
    <w:p w:rsidR="00C15D0A" w:rsidRPr="00A350E1" w:rsidRDefault="001A58C9" w:rsidP="003F7011">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1.1.</w:t>
      </w:r>
      <w:r w:rsidR="00617988">
        <w:rPr>
          <w:rFonts w:ascii="GHEA Grapalat" w:hAnsi="GHEA Grapalat"/>
          <w:sz w:val="24"/>
          <w:szCs w:val="24"/>
        </w:rPr>
        <w:tab/>
      </w:r>
      <w:r w:rsidRPr="00A350E1">
        <w:rPr>
          <w:rStyle w:val="Heading21"/>
          <w:rFonts w:ascii="GHEA Grapalat" w:hAnsi="GHEA Grapalat"/>
          <w:b/>
          <w:sz w:val="24"/>
          <w:szCs w:val="24"/>
        </w:rPr>
        <w:t>Նպատակները/արդյունքները</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Այս Գործողության ընդհանուր նպատակն է տնտեսական առանցքային բարեփոխումների հարցում աջակց</w:t>
      </w:r>
      <w:r w:rsidR="0011168B" w:rsidRPr="00A350E1">
        <w:rPr>
          <w:rStyle w:val="Bodytext26"/>
          <w:rFonts w:ascii="GHEA Grapalat" w:hAnsi="GHEA Grapalat"/>
          <w:sz w:val="24"/>
          <w:szCs w:val="24"/>
        </w:rPr>
        <w:t>ություն ցուցաբերել</w:t>
      </w:r>
      <w:r w:rsidRPr="00A350E1">
        <w:rPr>
          <w:rStyle w:val="Bodytext26"/>
          <w:rFonts w:ascii="GHEA Grapalat" w:hAnsi="GHEA Grapalat"/>
          <w:sz w:val="24"/>
          <w:szCs w:val="24"/>
        </w:rPr>
        <w:t xml:space="preserve"> այն ոլորտներում, որոնք </w:t>
      </w:r>
      <w:r w:rsidR="00BA3E41" w:rsidRPr="00A350E1">
        <w:rPr>
          <w:rStyle w:val="Bodytext26"/>
          <w:rFonts w:ascii="GHEA Grapalat" w:hAnsi="GHEA Grapalat"/>
          <w:sz w:val="24"/>
          <w:szCs w:val="24"/>
        </w:rPr>
        <w:t xml:space="preserve">սահմանվել </w:t>
      </w:r>
      <w:r w:rsidRPr="00A350E1">
        <w:rPr>
          <w:rStyle w:val="Bodytext26"/>
          <w:rFonts w:ascii="GHEA Grapalat" w:hAnsi="GHEA Grapalat"/>
          <w:sz w:val="24"/>
          <w:szCs w:val="24"/>
        </w:rPr>
        <w:t xml:space="preserve">են </w:t>
      </w:r>
      <w:r w:rsidR="00BA3E41" w:rsidRPr="00A350E1">
        <w:rPr>
          <w:rStyle w:val="Bodytext26"/>
          <w:rFonts w:ascii="GHEA Grapalat" w:hAnsi="GHEA Grapalat"/>
          <w:sz w:val="24"/>
          <w:szCs w:val="24"/>
        </w:rPr>
        <w:t xml:space="preserve">որպես </w:t>
      </w:r>
      <w:r w:rsidRPr="00A350E1">
        <w:rPr>
          <w:rStyle w:val="Bodytext26"/>
          <w:rFonts w:ascii="GHEA Grapalat" w:hAnsi="GHEA Grapalat"/>
          <w:sz w:val="24"/>
          <w:szCs w:val="24"/>
        </w:rPr>
        <w:t>տնտեսական աճ</w:t>
      </w:r>
      <w:r w:rsidR="00C84966" w:rsidRPr="00A350E1">
        <w:rPr>
          <w:rStyle w:val="Bodytext26"/>
          <w:rFonts w:ascii="GHEA Grapalat" w:hAnsi="GHEA Grapalat"/>
          <w:sz w:val="24"/>
          <w:szCs w:val="24"/>
        </w:rPr>
        <w:t>ը</w:t>
      </w:r>
      <w:r w:rsidRPr="00A350E1">
        <w:rPr>
          <w:rStyle w:val="Bodytext26"/>
          <w:rFonts w:ascii="GHEA Grapalat" w:hAnsi="GHEA Grapalat"/>
          <w:sz w:val="24"/>
          <w:szCs w:val="24"/>
        </w:rPr>
        <w:t xml:space="preserve"> </w:t>
      </w:r>
      <w:r w:rsidR="00C84966" w:rsidRPr="00A350E1">
        <w:rPr>
          <w:rStyle w:val="Bodytext26"/>
          <w:rFonts w:ascii="GHEA Grapalat" w:hAnsi="GHEA Grapalat"/>
          <w:sz w:val="24"/>
          <w:szCs w:val="24"/>
        </w:rPr>
        <w:t xml:space="preserve">սահմանափակող </w:t>
      </w:r>
      <w:r w:rsidRPr="00A350E1">
        <w:rPr>
          <w:rStyle w:val="Bodytext26"/>
          <w:rFonts w:ascii="GHEA Grapalat" w:hAnsi="GHEA Grapalat"/>
          <w:sz w:val="24"/>
          <w:szCs w:val="24"/>
        </w:rPr>
        <w:t xml:space="preserve">կամ </w:t>
      </w:r>
      <w:r w:rsidR="00AF1836" w:rsidRPr="00A350E1">
        <w:rPr>
          <w:rStyle w:val="Bodytext26"/>
          <w:rFonts w:ascii="GHEA Grapalat" w:hAnsi="GHEA Grapalat"/>
          <w:sz w:val="24"/>
          <w:szCs w:val="24"/>
        </w:rPr>
        <w:t xml:space="preserve">աճի </w:t>
      </w:r>
      <w:r w:rsidRPr="00A350E1">
        <w:rPr>
          <w:rStyle w:val="Bodytext26"/>
          <w:rFonts w:ascii="GHEA Grapalat" w:hAnsi="GHEA Grapalat"/>
          <w:sz w:val="24"/>
          <w:szCs w:val="24"/>
        </w:rPr>
        <w:t>հնարավորությունն</w:t>
      </w:r>
      <w:r w:rsidR="009527CC" w:rsidRPr="00A350E1">
        <w:rPr>
          <w:rStyle w:val="Bodytext26"/>
          <w:rFonts w:ascii="GHEA Grapalat" w:hAnsi="GHEA Grapalat"/>
          <w:sz w:val="24"/>
          <w:szCs w:val="24"/>
        </w:rPr>
        <w:t>ե</w:t>
      </w:r>
      <w:r w:rsidRPr="00A350E1">
        <w:rPr>
          <w:rStyle w:val="Bodytext26"/>
          <w:rFonts w:ascii="GHEA Grapalat" w:hAnsi="GHEA Grapalat"/>
          <w:sz w:val="24"/>
          <w:szCs w:val="24"/>
        </w:rPr>
        <w:t>ր</w:t>
      </w:r>
      <w:r w:rsidR="009527CC" w:rsidRPr="00A350E1">
        <w:rPr>
          <w:rStyle w:val="Bodytext26"/>
          <w:rFonts w:ascii="GHEA Grapalat" w:hAnsi="GHEA Grapalat"/>
          <w:sz w:val="24"/>
          <w:szCs w:val="24"/>
        </w:rPr>
        <w:t xml:space="preserve"> ընձեռող</w:t>
      </w:r>
      <w:r w:rsidRPr="00A350E1">
        <w:rPr>
          <w:rStyle w:val="Bodytext26"/>
          <w:rFonts w:ascii="GHEA Grapalat" w:hAnsi="GHEA Grapalat"/>
          <w:sz w:val="24"/>
          <w:szCs w:val="24"/>
        </w:rPr>
        <w:t>։</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Ծրագրի հատուկ նպատակներն են.</w:t>
      </w:r>
    </w:p>
    <w:p w:rsidR="00C15D0A" w:rsidRPr="00A350E1" w:rsidRDefault="001A58C9" w:rsidP="00617988">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i)</w:t>
      </w:r>
      <w:r w:rsidR="00617988">
        <w:rPr>
          <w:rFonts w:ascii="GHEA Grapalat" w:hAnsi="GHEA Grapalat"/>
          <w:sz w:val="24"/>
          <w:szCs w:val="24"/>
        </w:rPr>
        <w:tab/>
      </w:r>
      <w:r w:rsidRPr="00A350E1">
        <w:rPr>
          <w:rStyle w:val="Bodytext26"/>
          <w:rFonts w:ascii="GHEA Grapalat" w:hAnsi="GHEA Grapalat"/>
          <w:sz w:val="24"/>
          <w:szCs w:val="24"/>
        </w:rPr>
        <w:t xml:space="preserve">պետական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մասնավոր ներդրումները կառավարելու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ներգրավելու նպատակով բարելավել տնտեսական կառավարումը,</w:t>
      </w:r>
    </w:p>
    <w:p w:rsidR="00C15D0A" w:rsidRPr="00A350E1" w:rsidRDefault="001A58C9" w:rsidP="00617988">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ii)</w:t>
      </w:r>
      <w:r w:rsidR="00617988">
        <w:rPr>
          <w:rFonts w:ascii="GHEA Grapalat" w:hAnsi="GHEA Grapalat"/>
          <w:sz w:val="24"/>
          <w:szCs w:val="24"/>
        </w:rPr>
        <w:tab/>
      </w:r>
      <w:r w:rsidRPr="00A350E1">
        <w:rPr>
          <w:rStyle w:val="Bodytext26"/>
          <w:rFonts w:ascii="GHEA Grapalat" w:hAnsi="GHEA Grapalat"/>
          <w:sz w:val="24"/>
          <w:szCs w:val="24"/>
        </w:rPr>
        <w:t xml:space="preserve">առօրյա բիզնես գործառնությունների համար բարելավել բիզնես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ներդրումների միջավայրը,</w:t>
      </w:r>
    </w:p>
    <w:p w:rsidR="00C15D0A" w:rsidRPr="00A350E1" w:rsidRDefault="001A58C9" w:rsidP="00617988">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iii)</w:t>
      </w:r>
      <w:r w:rsidR="00617988">
        <w:rPr>
          <w:rFonts w:ascii="GHEA Grapalat" w:hAnsi="GHEA Grapalat"/>
          <w:sz w:val="24"/>
          <w:szCs w:val="24"/>
        </w:rPr>
        <w:tab/>
      </w:r>
      <w:r w:rsidRPr="00A350E1">
        <w:rPr>
          <w:rStyle w:val="Bodytext26"/>
          <w:rFonts w:ascii="GHEA Grapalat" w:hAnsi="GHEA Grapalat"/>
          <w:sz w:val="24"/>
          <w:szCs w:val="24"/>
        </w:rPr>
        <w:t>Հայաստանի բիզնես ոլորտում բարելավել առ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տրի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շուկայի հնարավորությունները/մատչելիության մակարդակը, </w:t>
      </w:r>
      <w:r w:rsidR="001118B9" w:rsidRPr="00A350E1">
        <w:rPr>
          <w:rStyle w:val="Bodytext26"/>
          <w:rFonts w:ascii="GHEA Grapalat" w:hAnsi="GHEA Grapalat"/>
          <w:sz w:val="24"/>
          <w:szCs w:val="24"/>
        </w:rPr>
        <w:t>եւ</w:t>
      </w:r>
    </w:p>
    <w:p w:rsidR="00C15D0A" w:rsidRPr="00A350E1" w:rsidRDefault="001A58C9" w:rsidP="00617988">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iv)</w:t>
      </w:r>
      <w:r w:rsidR="00617988">
        <w:rPr>
          <w:rFonts w:ascii="GHEA Grapalat" w:hAnsi="GHEA Grapalat"/>
          <w:sz w:val="24"/>
          <w:szCs w:val="24"/>
        </w:rPr>
        <w:tab/>
      </w:r>
      <w:r w:rsidRPr="00A350E1">
        <w:rPr>
          <w:rStyle w:val="Bodytext26"/>
          <w:rFonts w:ascii="GHEA Grapalat" w:hAnsi="GHEA Grapalat"/>
          <w:sz w:val="24"/>
          <w:szCs w:val="24"/>
        </w:rPr>
        <w:t xml:space="preserve">ամրապնդել հաղորդակցությունը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էներգաարդյունավետությունը։</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Վերոնշյալ ոլորտներին աջակցություն ցուցաբերելուց բացի</w:t>
      </w:r>
      <w:r w:rsidR="00B52AE9" w:rsidRPr="00A350E1">
        <w:rPr>
          <w:rStyle w:val="Bodytext26"/>
          <w:rFonts w:ascii="GHEA Grapalat" w:hAnsi="GHEA Grapalat"/>
          <w:sz w:val="24"/>
          <w:szCs w:val="24"/>
        </w:rPr>
        <w:t>՝</w:t>
      </w:r>
      <w:r w:rsidRPr="00A350E1">
        <w:rPr>
          <w:rStyle w:val="Bodytext26"/>
          <w:rFonts w:ascii="GHEA Grapalat" w:hAnsi="GHEA Grapalat"/>
          <w:sz w:val="24"/>
          <w:szCs w:val="24"/>
        </w:rPr>
        <w:t xml:space="preserve"> Թվինինգ ծրագր</w:t>
      </w:r>
      <w:r w:rsidR="003C1B35" w:rsidRPr="00A350E1">
        <w:rPr>
          <w:rStyle w:val="Bodytext26"/>
          <w:rFonts w:ascii="GHEA Grapalat" w:hAnsi="GHEA Grapalat"/>
          <w:sz w:val="24"/>
          <w:szCs w:val="24"/>
        </w:rPr>
        <w:t>եր</w:t>
      </w:r>
      <w:r w:rsidRPr="00A350E1">
        <w:rPr>
          <w:rStyle w:val="Bodytext26"/>
          <w:rFonts w:ascii="GHEA Grapalat" w:hAnsi="GHEA Grapalat"/>
          <w:sz w:val="24"/>
          <w:szCs w:val="24"/>
        </w:rPr>
        <w:t xml:space="preserve">ի միջոցով գործողության մեջ կարող են ներառվել Համապարփակ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ընդլայնված գործընկերության համաձայնագրի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Հայաստանի հետ գործընկերության առաջնահերթությունների իրականացման համար կար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որ համարվող այլ ոլորտներ։</w:t>
      </w:r>
    </w:p>
    <w:p w:rsidR="00C15D0A" w:rsidRDefault="001A58C9" w:rsidP="00617988">
      <w:pPr>
        <w:pStyle w:val="Heading20"/>
        <w:shd w:val="clear" w:color="auto" w:fill="auto"/>
        <w:tabs>
          <w:tab w:val="left" w:pos="1134"/>
        </w:tabs>
        <w:spacing w:before="0" w:after="160" w:line="360" w:lineRule="auto"/>
        <w:ind w:right="-1" w:firstLine="567"/>
        <w:jc w:val="left"/>
        <w:outlineLvl w:val="9"/>
        <w:rPr>
          <w:rStyle w:val="Heading21"/>
          <w:rFonts w:ascii="GHEA Grapalat" w:hAnsi="GHEA Grapalat"/>
          <w:b/>
          <w:sz w:val="24"/>
          <w:szCs w:val="24"/>
        </w:rPr>
      </w:pPr>
      <w:r w:rsidRPr="00A350E1">
        <w:rPr>
          <w:rFonts w:ascii="GHEA Grapalat" w:hAnsi="GHEA Grapalat"/>
          <w:sz w:val="24"/>
          <w:szCs w:val="24"/>
        </w:rPr>
        <w:lastRenderedPageBreak/>
        <w:t>1.2.</w:t>
      </w:r>
      <w:r w:rsidR="00617988">
        <w:rPr>
          <w:rFonts w:ascii="GHEA Grapalat" w:hAnsi="GHEA Grapalat"/>
          <w:sz w:val="24"/>
          <w:szCs w:val="24"/>
        </w:rPr>
        <w:tab/>
      </w:r>
      <w:r w:rsidRPr="00A350E1">
        <w:rPr>
          <w:rStyle w:val="Heading21"/>
          <w:rFonts w:ascii="GHEA Grapalat" w:hAnsi="GHEA Grapalat"/>
          <w:b/>
          <w:sz w:val="24"/>
          <w:szCs w:val="24"/>
        </w:rPr>
        <w:t>Հիմնական գործողությունները</w:t>
      </w:r>
    </w:p>
    <w:p w:rsidR="00617988" w:rsidRPr="00A350E1" w:rsidRDefault="00617988" w:rsidP="00617988">
      <w:pPr>
        <w:pStyle w:val="Heading20"/>
        <w:shd w:val="clear" w:color="auto" w:fill="auto"/>
        <w:spacing w:before="0" w:after="160" w:line="360" w:lineRule="auto"/>
        <w:ind w:right="-1" w:firstLine="567"/>
        <w:outlineLvl w:val="9"/>
        <w:rPr>
          <w:rFonts w:ascii="GHEA Grapalat" w:hAnsi="GHEA Grapalat" w:cs="Sylfaen"/>
          <w:sz w:val="24"/>
          <w:szCs w:val="24"/>
        </w:rPr>
      </w:pPr>
    </w:p>
    <w:p w:rsidR="00617988" w:rsidRDefault="001A58C9" w:rsidP="00617988">
      <w:pPr>
        <w:pStyle w:val="Heading20"/>
        <w:shd w:val="clear" w:color="auto" w:fill="auto"/>
        <w:spacing w:before="0" w:after="160" w:line="360" w:lineRule="auto"/>
        <w:ind w:right="-1" w:firstLine="567"/>
        <w:jc w:val="left"/>
        <w:outlineLvl w:val="9"/>
        <w:rPr>
          <w:rStyle w:val="Heading22"/>
          <w:rFonts w:ascii="GHEA Grapalat" w:hAnsi="GHEA Grapalat"/>
          <w:b/>
          <w:sz w:val="24"/>
          <w:szCs w:val="24"/>
        </w:rPr>
      </w:pPr>
      <w:r w:rsidRPr="00A350E1">
        <w:rPr>
          <w:rStyle w:val="Heading22"/>
          <w:rFonts w:ascii="GHEA Grapalat" w:hAnsi="GHEA Grapalat"/>
          <w:b/>
          <w:sz w:val="24"/>
          <w:szCs w:val="24"/>
        </w:rPr>
        <w:t>Բաղադրիչ 1.</w:t>
      </w:r>
      <w:r w:rsidR="00617988">
        <w:rPr>
          <w:rStyle w:val="Heading22"/>
          <w:rFonts w:ascii="GHEA Grapalat" w:hAnsi="GHEA Grapalat"/>
          <w:b/>
          <w:sz w:val="24"/>
          <w:szCs w:val="24"/>
        </w:rPr>
        <w:tab/>
      </w:r>
      <w:r w:rsidRPr="00A350E1">
        <w:rPr>
          <w:rStyle w:val="Heading22"/>
          <w:rFonts w:ascii="GHEA Grapalat" w:hAnsi="GHEA Grapalat"/>
          <w:b/>
          <w:sz w:val="24"/>
          <w:szCs w:val="24"/>
        </w:rPr>
        <w:t xml:space="preserve">Տնտեսական կառավարում. Պետական </w:t>
      </w:r>
      <w:r w:rsidR="001118B9" w:rsidRPr="00A350E1">
        <w:rPr>
          <w:rStyle w:val="Heading22"/>
          <w:rFonts w:ascii="GHEA Grapalat" w:hAnsi="GHEA Grapalat"/>
          <w:b/>
          <w:sz w:val="24"/>
          <w:szCs w:val="24"/>
        </w:rPr>
        <w:t>եւ</w:t>
      </w:r>
      <w:r w:rsidRPr="00A350E1">
        <w:rPr>
          <w:rStyle w:val="Heading22"/>
          <w:rFonts w:ascii="GHEA Grapalat" w:hAnsi="GHEA Grapalat"/>
          <w:b/>
          <w:sz w:val="24"/>
          <w:szCs w:val="24"/>
        </w:rPr>
        <w:t xml:space="preserve"> մասնավոր ներդրումների ներգրավում</w:t>
      </w:r>
    </w:p>
    <w:p w:rsidR="00617988" w:rsidRDefault="00617988" w:rsidP="00617988">
      <w:pPr>
        <w:pStyle w:val="Heading20"/>
        <w:shd w:val="clear" w:color="auto" w:fill="auto"/>
        <w:spacing w:before="0" w:after="160" w:line="360" w:lineRule="auto"/>
        <w:ind w:right="-1" w:firstLine="567"/>
        <w:jc w:val="left"/>
        <w:outlineLvl w:val="9"/>
        <w:rPr>
          <w:rFonts w:ascii="GHEA Grapalat" w:hAnsi="GHEA Grapalat"/>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Աջակցություն</w:t>
      </w:r>
      <w:r w:rsidR="00B52AE9" w:rsidRPr="00A350E1">
        <w:rPr>
          <w:rStyle w:val="Heading21"/>
          <w:rFonts w:ascii="GHEA Grapalat" w:hAnsi="GHEA Grapalat"/>
          <w:b/>
          <w:sz w:val="24"/>
          <w:szCs w:val="24"/>
        </w:rPr>
        <w:t>՝</w:t>
      </w:r>
      <w:r w:rsidRPr="00A350E1">
        <w:rPr>
          <w:rStyle w:val="Heading21"/>
          <w:rFonts w:ascii="GHEA Grapalat" w:hAnsi="GHEA Grapalat"/>
          <w:b/>
          <w:sz w:val="24"/>
          <w:szCs w:val="24"/>
        </w:rPr>
        <w:t xml:space="preserve"> պետական ներդրումների </w:t>
      </w:r>
      <w:r w:rsidR="001118B9" w:rsidRPr="00A350E1">
        <w:rPr>
          <w:rStyle w:val="Heading21"/>
          <w:rFonts w:ascii="GHEA Grapalat" w:hAnsi="GHEA Grapalat"/>
          <w:b/>
          <w:sz w:val="24"/>
          <w:szCs w:val="24"/>
        </w:rPr>
        <w:t>եւ</w:t>
      </w:r>
      <w:r w:rsidRPr="00A350E1">
        <w:rPr>
          <w:rStyle w:val="Heading21"/>
          <w:rFonts w:ascii="GHEA Grapalat" w:hAnsi="GHEA Grapalat"/>
          <w:b/>
          <w:sz w:val="24"/>
          <w:szCs w:val="24"/>
        </w:rPr>
        <w:t xml:space="preserve"> պարտքի կառավարման </w:t>
      </w:r>
      <w:r w:rsidR="00A141C2" w:rsidRPr="00A350E1">
        <w:rPr>
          <w:rStyle w:val="Heading21"/>
          <w:rFonts w:ascii="GHEA Grapalat" w:hAnsi="GHEA Grapalat"/>
          <w:b/>
          <w:sz w:val="24"/>
          <w:szCs w:val="24"/>
        </w:rPr>
        <w:t>ոլորտ</w:t>
      </w:r>
      <w:r w:rsidR="003F0EAA" w:rsidRPr="00A350E1">
        <w:rPr>
          <w:rStyle w:val="Heading21"/>
          <w:rFonts w:ascii="GHEA Grapalat" w:hAnsi="GHEA Grapalat"/>
          <w:b/>
          <w:sz w:val="24"/>
          <w:szCs w:val="24"/>
        </w:rPr>
        <w:t>ին</w:t>
      </w:r>
      <w:r w:rsidR="00A141C2" w:rsidRPr="00A350E1">
        <w:rPr>
          <w:rStyle w:val="Heading21"/>
          <w:rFonts w:ascii="GHEA Grapalat" w:hAnsi="GHEA Grapalat"/>
          <w:b/>
          <w:sz w:val="24"/>
          <w:szCs w:val="24"/>
        </w:rPr>
        <w:t xml:space="preserve"> </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Ե</w:t>
      </w:r>
      <w:r w:rsidR="00564767" w:rsidRPr="00A350E1">
        <w:rPr>
          <w:rStyle w:val="Bodytext26"/>
          <w:rFonts w:ascii="GHEA Grapalat" w:hAnsi="GHEA Grapalat"/>
          <w:sz w:val="24"/>
          <w:szCs w:val="24"/>
        </w:rPr>
        <w:t>Մ</w:t>
      </w:r>
      <w:r w:rsidRPr="00A350E1">
        <w:rPr>
          <w:rStyle w:val="Bodytext26"/>
          <w:rFonts w:ascii="GHEA Grapalat" w:hAnsi="GHEA Grapalat"/>
          <w:sz w:val="24"/>
          <w:szCs w:val="24"/>
        </w:rPr>
        <w:t xml:space="preserve">-ն այս ոլորտին աջակցություն է տրամադրել </w:t>
      </w:r>
      <w:r w:rsidR="00123B44" w:rsidRPr="00A350E1">
        <w:rPr>
          <w:rStyle w:val="Bodytext26"/>
          <w:rFonts w:ascii="GHEA Grapalat" w:hAnsi="GHEA Grapalat"/>
          <w:sz w:val="24"/>
          <w:szCs w:val="24"/>
        </w:rPr>
        <w:t xml:space="preserve">ծրագրերի միջոցով, որոնք ավարտվում են </w:t>
      </w:r>
      <w:r w:rsidRPr="00A350E1">
        <w:rPr>
          <w:rStyle w:val="Bodytext26"/>
          <w:rFonts w:ascii="GHEA Grapalat" w:hAnsi="GHEA Grapalat"/>
          <w:sz w:val="24"/>
          <w:szCs w:val="24"/>
        </w:rPr>
        <w:t xml:space="preserve">2017 թվականին։ Գործողությամբ պետական ներդրումների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պարտքի կառավարման </w:t>
      </w:r>
      <w:r w:rsidR="00AB6C9F" w:rsidRPr="00A350E1">
        <w:rPr>
          <w:rStyle w:val="Bodytext26"/>
          <w:rFonts w:ascii="GHEA Grapalat" w:hAnsi="GHEA Grapalat"/>
          <w:sz w:val="24"/>
          <w:szCs w:val="24"/>
        </w:rPr>
        <w:t xml:space="preserve">ոլորտին </w:t>
      </w:r>
      <w:r w:rsidRPr="00A350E1">
        <w:rPr>
          <w:rStyle w:val="Bodytext26"/>
          <w:rFonts w:ascii="GHEA Grapalat" w:hAnsi="GHEA Grapalat"/>
          <w:sz w:val="24"/>
          <w:szCs w:val="24"/>
        </w:rPr>
        <w:t xml:space="preserve">աջակցություն </w:t>
      </w:r>
      <w:r w:rsidR="008D2AF6" w:rsidRPr="00A350E1">
        <w:rPr>
          <w:rStyle w:val="Bodytext26"/>
          <w:rFonts w:ascii="GHEA Grapalat" w:hAnsi="GHEA Grapalat"/>
          <w:sz w:val="24"/>
          <w:szCs w:val="24"/>
        </w:rPr>
        <w:t>կցուցաբե</w:t>
      </w:r>
      <w:r w:rsidRPr="00A350E1">
        <w:rPr>
          <w:rStyle w:val="Bodytext26"/>
          <w:rFonts w:ascii="GHEA Grapalat" w:hAnsi="GHEA Grapalat"/>
          <w:sz w:val="24"/>
          <w:szCs w:val="24"/>
        </w:rPr>
        <w:t>րվի կա՛մ այս ծրագրով նշված գործընկերների, կա՛մ ուղղակի կառավարմամբ այլ տեխնիկական աջակցության (ՏԱ) միջոցով։</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Այս առումով գործողության շնորհիվ լրացուցիչ աջակցություն է ցուցաբերվում հանրային-մասնավոր գործընկերությանն ու պետական գնումներին առնչվող գործունեությանը։ </w:t>
      </w:r>
      <w:r w:rsidR="001B48F1" w:rsidRPr="00A350E1">
        <w:rPr>
          <w:rStyle w:val="Bodytext26"/>
          <w:rFonts w:ascii="GHEA Grapalat" w:hAnsi="GHEA Grapalat"/>
          <w:sz w:val="24"/>
          <w:szCs w:val="24"/>
        </w:rPr>
        <w:t>Դրանով</w:t>
      </w:r>
      <w:r w:rsidRPr="00A350E1">
        <w:rPr>
          <w:rStyle w:val="Bodytext26"/>
          <w:rFonts w:ascii="GHEA Grapalat" w:hAnsi="GHEA Grapalat"/>
          <w:sz w:val="24"/>
          <w:szCs w:val="24"/>
        </w:rPr>
        <w:t xml:space="preserve"> աջակցություն կցուցաբերվի պետական պարտքի կառավարման ռազմավարության (ՊՊԿՌ) իրականացմանը՝ Հայաստանի Հանրապետության կենտրոնական բանկի համար մեթոդաբանություն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պետական ներդրումային ծրագրերի համար Ստանդարտ գործառնական ընթացակարգեր (ՍԳԸ) ներկայացնելով։ Գործողությունը կանդրադառնա հարկաբյուջետային հնարավորությունների մասով մտահոգություններին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մեկ միասնական «խողովակով» </w:t>
      </w:r>
      <w:r w:rsidR="00982B8B" w:rsidRPr="00A350E1">
        <w:rPr>
          <w:rStyle w:val="Bodytext26"/>
          <w:rFonts w:ascii="GHEA Grapalat" w:hAnsi="GHEA Grapalat"/>
          <w:sz w:val="24"/>
          <w:szCs w:val="24"/>
        </w:rPr>
        <w:t xml:space="preserve">կառավարության ներդրումներին </w:t>
      </w:r>
      <w:r w:rsidRPr="00A350E1">
        <w:rPr>
          <w:rStyle w:val="Bodytext26"/>
          <w:rFonts w:ascii="GHEA Grapalat" w:hAnsi="GHEA Grapalat"/>
          <w:sz w:val="24"/>
          <w:szCs w:val="24"/>
        </w:rPr>
        <w:t>առաջնահերթություն տալու անհրաժեշտությանը։ Կոնկրետ գործողությունները կարող են ներառել, սակայն սահմանափակված չեն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յալով՝ Տեխնիկական աջակցություն (ՏԱ)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քաղաքականության վերաբերյալ երկխոսություն՝ Արժույթի միջազգային հիմնադրամից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այլ գործընկերներից տրամադրվող </w:t>
      </w:r>
      <w:r w:rsidR="00C2552C" w:rsidRPr="00A350E1">
        <w:rPr>
          <w:rStyle w:val="Bodytext26"/>
          <w:rFonts w:ascii="GHEA Grapalat" w:hAnsi="GHEA Grapalat"/>
          <w:sz w:val="24"/>
          <w:szCs w:val="24"/>
        </w:rPr>
        <w:t xml:space="preserve">տեխնիկական </w:t>
      </w:r>
      <w:r w:rsidRPr="00A350E1">
        <w:rPr>
          <w:rStyle w:val="Bodytext26"/>
          <w:rFonts w:ascii="GHEA Grapalat" w:hAnsi="GHEA Grapalat"/>
          <w:sz w:val="24"/>
          <w:szCs w:val="24"/>
        </w:rPr>
        <w:t xml:space="preserve">աջակցության ուղղությունները </w:t>
      </w:r>
      <w:r w:rsidR="00C2552C" w:rsidRPr="00A350E1">
        <w:rPr>
          <w:rStyle w:val="Bodytext26"/>
          <w:rFonts w:ascii="GHEA Grapalat" w:hAnsi="GHEA Grapalat"/>
          <w:sz w:val="24"/>
          <w:szCs w:val="24"/>
        </w:rPr>
        <w:t>համախմբ</w:t>
      </w:r>
      <w:r w:rsidRPr="00A350E1">
        <w:rPr>
          <w:rStyle w:val="Bodytext26"/>
          <w:rFonts w:ascii="GHEA Grapalat" w:hAnsi="GHEA Grapalat"/>
          <w:sz w:val="24"/>
          <w:szCs w:val="24"/>
        </w:rPr>
        <w:t>ելու նպատակով՝ ապահովելով տեխնիկական առումով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ողական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կայուն </w:t>
      </w:r>
      <w:r w:rsidR="006628A9" w:rsidRPr="00A350E1">
        <w:rPr>
          <w:rStyle w:val="Bodytext26"/>
          <w:rFonts w:ascii="GHEA Grapalat" w:hAnsi="GHEA Grapalat"/>
          <w:sz w:val="24"/>
          <w:szCs w:val="24"/>
        </w:rPr>
        <w:t xml:space="preserve">նորմատիվ </w:t>
      </w:r>
      <w:r w:rsidRPr="00A350E1">
        <w:rPr>
          <w:rStyle w:val="Bodytext26"/>
          <w:rFonts w:ascii="GHEA Grapalat" w:hAnsi="GHEA Grapalat"/>
          <w:sz w:val="24"/>
          <w:szCs w:val="24"/>
        </w:rPr>
        <w:t>իրավական դաշտ, որ</w:t>
      </w:r>
      <w:r w:rsidR="006628A9" w:rsidRPr="00A350E1">
        <w:rPr>
          <w:rStyle w:val="Bodytext26"/>
          <w:rFonts w:ascii="GHEA Grapalat" w:hAnsi="GHEA Grapalat"/>
          <w:sz w:val="24"/>
          <w:szCs w:val="24"/>
        </w:rPr>
        <w:t>ի շրջանակներում</w:t>
      </w:r>
      <w:r w:rsidRPr="00A350E1">
        <w:rPr>
          <w:rStyle w:val="Bodytext26"/>
          <w:rFonts w:ascii="GHEA Grapalat" w:hAnsi="GHEA Grapalat"/>
          <w:sz w:val="24"/>
          <w:szCs w:val="24"/>
        </w:rPr>
        <w:t xml:space="preserve"> պետք է իրականացվի </w:t>
      </w:r>
      <w:r w:rsidR="00617333" w:rsidRPr="00A350E1">
        <w:rPr>
          <w:rStyle w:val="Bodytext26"/>
          <w:rFonts w:ascii="GHEA Grapalat" w:hAnsi="GHEA Grapalat"/>
          <w:sz w:val="24"/>
          <w:szCs w:val="24"/>
        </w:rPr>
        <w:lastRenderedPageBreak/>
        <w:t>Պ</w:t>
      </w:r>
      <w:r w:rsidRPr="00A350E1">
        <w:rPr>
          <w:rStyle w:val="Bodytext26"/>
          <w:rFonts w:ascii="GHEA Grapalat" w:hAnsi="GHEA Grapalat"/>
          <w:sz w:val="24"/>
          <w:szCs w:val="24"/>
        </w:rPr>
        <w:t>ՊԿՌ-ն</w:t>
      </w:r>
      <w:r w:rsidR="00EC0012" w:rsidRPr="00A350E1">
        <w:rPr>
          <w:rStyle w:val="Bodytext26"/>
          <w:rFonts w:ascii="GHEA Grapalat" w:hAnsi="GHEA Grapalat"/>
          <w:sz w:val="24"/>
          <w:szCs w:val="24"/>
        </w:rPr>
        <w:t>,</w:t>
      </w:r>
      <w:r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վերանայ</w:t>
      </w:r>
      <w:r w:rsidR="007C026C" w:rsidRPr="00A350E1">
        <w:rPr>
          <w:rStyle w:val="Bodytext26"/>
          <w:rFonts w:ascii="GHEA Grapalat" w:hAnsi="GHEA Grapalat"/>
          <w:sz w:val="24"/>
          <w:szCs w:val="24"/>
        </w:rPr>
        <w:t>վեն</w:t>
      </w:r>
      <w:r w:rsidRPr="00A350E1">
        <w:rPr>
          <w:rStyle w:val="Bodytext26"/>
          <w:rFonts w:ascii="GHEA Grapalat" w:hAnsi="GHEA Grapalat"/>
          <w:sz w:val="24"/>
          <w:szCs w:val="24"/>
        </w:rPr>
        <w:t xml:space="preserve"> հարկաբյուջետային կանոնները. ՏԱ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քաղաքականության վերաբերյալ երկխոսություն՝ ԵՄ</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ի կողմից Պետական ներդրումների կառավարման (ՊՆԿ)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նախագծերի առաջնահերթությունների սահմանման մասով նախկինում ցուցաբերված աջակցության վերաբերյալ</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առաջարկություններ</w:t>
      </w:r>
      <w:r w:rsidR="00797536" w:rsidRPr="00A350E1">
        <w:rPr>
          <w:rStyle w:val="Bodytext26"/>
          <w:rFonts w:ascii="GHEA Grapalat" w:hAnsi="GHEA Grapalat"/>
          <w:sz w:val="24"/>
          <w:szCs w:val="24"/>
        </w:rPr>
        <w:t>ի</w:t>
      </w:r>
      <w:r w:rsidRPr="00A350E1">
        <w:rPr>
          <w:rStyle w:val="Bodytext26"/>
          <w:rFonts w:ascii="GHEA Grapalat" w:hAnsi="GHEA Grapalat"/>
          <w:sz w:val="24"/>
          <w:szCs w:val="24"/>
        </w:rPr>
        <w:t xml:space="preserve">ն </w:t>
      </w:r>
      <w:r w:rsidR="00797536" w:rsidRPr="00A350E1">
        <w:rPr>
          <w:rStyle w:val="Bodytext26"/>
          <w:rFonts w:ascii="GHEA Grapalat" w:hAnsi="GHEA Grapalat"/>
          <w:sz w:val="24"/>
          <w:szCs w:val="24"/>
        </w:rPr>
        <w:t>ընթացք տա</w:t>
      </w:r>
      <w:r w:rsidRPr="00A350E1">
        <w:rPr>
          <w:rStyle w:val="Bodytext26"/>
          <w:rFonts w:ascii="GHEA Grapalat" w:hAnsi="GHEA Grapalat"/>
          <w:sz w:val="24"/>
          <w:szCs w:val="24"/>
        </w:rPr>
        <w:t>լու նպատակով</w:t>
      </w:r>
      <w:r w:rsidR="00D377AA" w:rsidRPr="00A350E1">
        <w:rPr>
          <w:rStyle w:val="Bodytext26"/>
          <w:rFonts w:ascii="GHEA Grapalat" w:hAnsi="GHEA Grapalat"/>
          <w:sz w:val="24"/>
          <w:szCs w:val="24"/>
        </w:rPr>
        <w:t xml:space="preserve">. </w:t>
      </w:r>
      <w:r w:rsidR="00A350E1">
        <w:rPr>
          <w:rStyle w:val="Bodytext26"/>
          <w:rFonts w:ascii="GHEA Grapalat" w:hAnsi="GHEA Grapalat"/>
          <w:sz w:val="24"/>
          <w:szCs w:val="24"/>
        </w:rPr>
        <w:t>եւ</w:t>
      </w:r>
      <w:r w:rsidR="00D377AA" w:rsidRPr="00A350E1">
        <w:rPr>
          <w:rStyle w:val="Bodytext26"/>
          <w:rFonts w:ascii="GHEA Grapalat" w:hAnsi="GHEA Grapalat"/>
          <w:sz w:val="24"/>
          <w:szCs w:val="24"/>
        </w:rPr>
        <w:t xml:space="preserve"> տվյալների բազայի վրա </w:t>
      </w:r>
      <w:r w:rsidR="001D0D38" w:rsidRPr="00A350E1">
        <w:rPr>
          <w:rStyle w:val="Bodytext26"/>
          <w:rFonts w:ascii="GHEA Grapalat" w:hAnsi="GHEA Grapalat"/>
          <w:sz w:val="24"/>
          <w:szCs w:val="24"/>
        </w:rPr>
        <w:t xml:space="preserve">հիմնված </w:t>
      </w:r>
      <w:r w:rsidR="00D377AA" w:rsidRPr="00A350E1">
        <w:rPr>
          <w:rStyle w:val="Bodytext26"/>
          <w:rFonts w:ascii="GHEA Grapalat" w:hAnsi="GHEA Grapalat"/>
          <w:sz w:val="24"/>
          <w:szCs w:val="24"/>
        </w:rPr>
        <w:t>ըստ</w:t>
      </w:r>
      <w:r w:rsidRPr="00A350E1">
        <w:rPr>
          <w:rStyle w:val="Bodytext26"/>
          <w:rFonts w:ascii="GHEA Grapalat" w:hAnsi="GHEA Grapalat"/>
          <w:sz w:val="24"/>
          <w:szCs w:val="24"/>
        </w:rPr>
        <w:t xml:space="preserve"> առաջնահերթությունների</w:t>
      </w:r>
      <w:r w:rsidR="001D0D38" w:rsidRPr="00A350E1">
        <w:rPr>
          <w:rStyle w:val="Bodytext26"/>
          <w:rFonts w:ascii="GHEA Grapalat" w:hAnsi="GHEA Grapalat"/>
          <w:sz w:val="24"/>
          <w:szCs w:val="24"/>
        </w:rPr>
        <w:t xml:space="preserve"> լուծման մեխանիզմ</w:t>
      </w:r>
      <w:r w:rsidR="00E33FC8" w:rsidRPr="00A350E1">
        <w:rPr>
          <w:rStyle w:val="Bodytext26"/>
          <w:rFonts w:ascii="GHEA Grapalat" w:hAnsi="GHEA Grapalat"/>
          <w:sz w:val="24"/>
          <w:szCs w:val="24"/>
        </w:rPr>
        <w:t>ի մշակում՝</w:t>
      </w:r>
      <w:r w:rsidR="00A350E1">
        <w:rPr>
          <w:rStyle w:val="Bodytext26"/>
          <w:rFonts w:ascii="GHEA Grapalat" w:hAnsi="GHEA Grapalat"/>
          <w:sz w:val="24"/>
          <w:szCs w:val="24"/>
        </w:rPr>
        <w:t xml:space="preserve"> </w:t>
      </w:r>
      <w:r w:rsidR="00E33FC8" w:rsidRPr="00A350E1">
        <w:rPr>
          <w:rStyle w:val="Bodytext26"/>
          <w:rFonts w:ascii="GHEA Grapalat" w:hAnsi="GHEA Grapalat"/>
          <w:sz w:val="24"/>
          <w:szCs w:val="24"/>
        </w:rPr>
        <w:t xml:space="preserve">ապահովելով </w:t>
      </w:r>
      <w:r w:rsidRPr="00A350E1">
        <w:rPr>
          <w:rStyle w:val="Bodytext26"/>
          <w:rFonts w:ascii="GHEA Grapalat" w:hAnsi="GHEA Grapalat"/>
          <w:sz w:val="24"/>
          <w:szCs w:val="24"/>
        </w:rPr>
        <w:t xml:space="preserve">իրավական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նորմատիվ մեխանիզմներ</w:t>
      </w:r>
      <w:r w:rsidR="00D72404" w:rsidRPr="00A350E1">
        <w:rPr>
          <w:rStyle w:val="Bodytext26"/>
          <w:rFonts w:ascii="GHEA Grapalat" w:hAnsi="GHEA Grapalat"/>
          <w:sz w:val="24"/>
          <w:szCs w:val="24"/>
        </w:rPr>
        <w:t xml:space="preserve"> այդ նպատակի համար</w:t>
      </w:r>
      <w:r w:rsidRPr="00A350E1">
        <w:rPr>
          <w:rStyle w:val="Bodytext26"/>
          <w:rFonts w:ascii="GHEA Grapalat" w:hAnsi="GHEA Grapalat"/>
          <w:sz w:val="24"/>
          <w:szCs w:val="24"/>
        </w:rPr>
        <w:t>,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w:t>
      </w:r>
      <w:r w:rsidR="00B95FC1" w:rsidRPr="00A350E1">
        <w:rPr>
          <w:rStyle w:val="Bodytext26"/>
          <w:rFonts w:ascii="GHEA Grapalat" w:hAnsi="GHEA Grapalat"/>
          <w:sz w:val="24"/>
          <w:szCs w:val="24"/>
        </w:rPr>
        <w:t>կարողությունների զարգացում</w:t>
      </w:r>
      <w:r w:rsidR="00E142CE" w:rsidRPr="00A350E1">
        <w:rPr>
          <w:rStyle w:val="Bodytext26"/>
          <w:rFonts w:ascii="GHEA Grapalat" w:hAnsi="GHEA Grapalat"/>
          <w:sz w:val="24"/>
          <w:szCs w:val="24"/>
        </w:rPr>
        <w:t>`</w:t>
      </w:r>
      <w:r w:rsidR="00B95FC1" w:rsidRPr="00A350E1">
        <w:rPr>
          <w:rStyle w:val="Bodytext26"/>
          <w:rFonts w:ascii="GHEA Grapalat" w:hAnsi="GHEA Grapalat"/>
          <w:sz w:val="24"/>
          <w:szCs w:val="24"/>
        </w:rPr>
        <w:t xml:space="preserve"> </w:t>
      </w:r>
      <w:r w:rsidRPr="00A350E1">
        <w:rPr>
          <w:rStyle w:val="Bodytext26"/>
          <w:rFonts w:ascii="GHEA Grapalat" w:hAnsi="GHEA Grapalat"/>
          <w:sz w:val="24"/>
          <w:szCs w:val="24"/>
        </w:rPr>
        <w:t>դրանք ինստիտուցիոնալ</w:t>
      </w:r>
      <w:r w:rsidR="00B95FC1" w:rsidRPr="00A350E1">
        <w:rPr>
          <w:rStyle w:val="Bodytext26"/>
          <w:rFonts w:ascii="GHEA Grapalat" w:hAnsi="GHEA Grapalat"/>
          <w:sz w:val="24"/>
          <w:szCs w:val="24"/>
        </w:rPr>
        <w:t xml:space="preserve"> հիմքերի վրա դնելու</w:t>
      </w:r>
      <w:r w:rsidRPr="00A350E1">
        <w:rPr>
          <w:rStyle w:val="Bodytext26"/>
          <w:rFonts w:ascii="GHEA Grapalat" w:hAnsi="GHEA Grapalat"/>
          <w:sz w:val="24"/>
          <w:szCs w:val="24"/>
        </w:rPr>
        <w:t xml:space="preserve"> նպատակով։</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«Պետ</w:t>
      </w:r>
      <w:r w:rsidR="009D4F87" w:rsidRPr="00A350E1">
        <w:rPr>
          <w:rStyle w:val="Heading21"/>
          <w:rFonts w:ascii="GHEA Grapalat" w:hAnsi="GHEA Grapalat"/>
          <w:b/>
          <w:sz w:val="24"/>
          <w:szCs w:val="24"/>
        </w:rPr>
        <w:t>ություն</w:t>
      </w:r>
      <w:r w:rsidRPr="00A350E1">
        <w:rPr>
          <w:rStyle w:val="Heading21"/>
          <w:rFonts w:ascii="GHEA Grapalat" w:hAnsi="GHEA Grapalat"/>
          <w:b/>
          <w:sz w:val="24"/>
          <w:szCs w:val="24"/>
        </w:rPr>
        <w:t xml:space="preserve">-մասնավոր գործընկերության մասին» (ՊՄԳ) համընդհանուր օրենքը </w:t>
      </w:r>
      <w:r w:rsidR="001118B9" w:rsidRPr="00A350E1">
        <w:rPr>
          <w:rStyle w:val="Heading21"/>
          <w:rFonts w:ascii="GHEA Grapalat" w:hAnsi="GHEA Grapalat"/>
          <w:b/>
          <w:sz w:val="24"/>
          <w:szCs w:val="24"/>
        </w:rPr>
        <w:t>եւ</w:t>
      </w:r>
      <w:r w:rsidRPr="00A350E1">
        <w:rPr>
          <w:rStyle w:val="Heading21"/>
          <w:rFonts w:ascii="GHEA Grapalat" w:hAnsi="GHEA Grapalat"/>
          <w:b/>
          <w:sz w:val="24"/>
          <w:szCs w:val="24"/>
        </w:rPr>
        <w:t xml:space="preserve"> կիրարկումը</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Վերջին մեկ տարվա ընթացքում ԵՄ-ն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ՎԶԵԲ-</w:t>
      </w:r>
      <w:r w:rsidR="00982B8B" w:rsidRPr="00A350E1">
        <w:rPr>
          <w:rStyle w:val="Bodytext26"/>
          <w:rFonts w:ascii="GHEA Grapalat" w:hAnsi="GHEA Grapalat"/>
          <w:sz w:val="24"/>
          <w:szCs w:val="24"/>
        </w:rPr>
        <w:t>ն</w:t>
      </w:r>
      <w:r w:rsidRPr="00A350E1">
        <w:rPr>
          <w:rStyle w:val="Bodytext26"/>
          <w:rFonts w:ascii="GHEA Grapalat" w:hAnsi="GHEA Grapalat"/>
          <w:sz w:val="24"/>
          <w:szCs w:val="24"/>
        </w:rPr>
        <w:t xml:space="preserve"> առաջարկում են ՊՄԳ</w:t>
      </w:r>
      <w:r w:rsidR="00EC0012" w:rsidRPr="00A350E1">
        <w:rPr>
          <w:rStyle w:val="Bodytext26"/>
          <w:rFonts w:ascii="GHEA Grapalat" w:hAnsi="GHEA Grapalat"/>
          <w:sz w:val="24"/>
          <w:szCs w:val="24"/>
        </w:rPr>
        <w:t>-ի</w:t>
      </w:r>
      <w:r w:rsidRPr="00A350E1">
        <w:rPr>
          <w:rStyle w:val="Bodytext26"/>
          <w:rFonts w:ascii="GHEA Grapalat" w:hAnsi="GHEA Grapalat"/>
          <w:sz w:val="24"/>
          <w:szCs w:val="24"/>
        </w:rPr>
        <w:t xml:space="preserve"> </w:t>
      </w:r>
      <w:r w:rsidR="002F5A00" w:rsidRPr="00A350E1">
        <w:rPr>
          <w:rStyle w:val="Bodytext26"/>
          <w:rFonts w:ascii="GHEA Grapalat" w:hAnsi="GHEA Grapalat"/>
          <w:sz w:val="24"/>
          <w:szCs w:val="24"/>
        </w:rPr>
        <w:t xml:space="preserve">վերաբերյալ </w:t>
      </w:r>
      <w:r w:rsidRPr="00A350E1">
        <w:rPr>
          <w:rStyle w:val="Bodytext26"/>
          <w:rFonts w:ascii="GHEA Grapalat" w:hAnsi="GHEA Grapalat"/>
          <w:sz w:val="24"/>
          <w:szCs w:val="24"/>
        </w:rPr>
        <w:t>շրջանակ</w:t>
      </w:r>
      <w:r w:rsidR="00E142CE" w:rsidRPr="00A350E1">
        <w:rPr>
          <w:rStyle w:val="Bodytext26"/>
          <w:rFonts w:ascii="GHEA Grapalat" w:hAnsi="GHEA Grapalat"/>
          <w:sz w:val="24"/>
          <w:szCs w:val="24"/>
        </w:rPr>
        <w:t>ային փաստաթուղթ</w:t>
      </w:r>
      <w:r w:rsidRPr="00A350E1">
        <w:rPr>
          <w:rStyle w:val="Bodytext26"/>
          <w:rFonts w:ascii="GHEA Grapalat" w:hAnsi="GHEA Grapalat"/>
          <w:sz w:val="24"/>
          <w:szCs w:val="24"/>
        </w:rPr>
        <w:t xml:space="preserve"> ներկայացնել՝ որպես պետական ներդրումների ոլորտում օտարերկրյա ներդրումներ</w:t>
      </w:r>
      <w:r w:rsidR="00474782" w:rsidRPr="00A350E1">
        <w:rPr>
          <w:rStyle w:val="Bodytext26"/>
          <w:rFonts w:ascii="GHEA Grapalat" w:hAnsi="GHEA Grapalat"/>
          <w:sz w:val="24"/>
          <w:szCs w:val="24"/>
        </w:rPr>
        <w:t>ը</w:t>
      </w:r>
      <w:r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թափանցիկությունը խթանելու իրենց ջանքերի մի մաս։ ՊՄԳ-ի շրջանակը մեծապես տարաբաժանված է ոլորտային նախարարությունների 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պահանջում է միասնական մոտեցում։ Գործունեությ</w:t>
      </w:r>
      <w:r w:rsidR="0066596E" w:rsidRPr="00A350E1">
        <w:rPr>
          <w:rStyle w:val="Bodytext26"/>
          <w:rFonts w:ascii="GHEA Grapalat" w:hAnsi="GHEA Grapalat"/>
          <w:sz w:val="24"/>
          <w:szCs w:val="24"/>
        </w:rPr>
        <w:t>ա</w:t>
      </w:r>
      <w:r w:rsidRPr="00A350E1">
        <w:rPr>
          <w:rStyle w:val="Bodytext26"/>
          <w:rFonts w:ascii="GHEA Grapalat" w:hAnsi="GHEA Grapalat"/>
          <w:sz w:val="24"/>
          <w:szCs w:val="24"/>
        </w:rPr>
        <w:t xml:space="preserve">ն </w:t>
      </w:r>
      <w:r w:rsidR="0066596E" w:rsidRPr="00A350E1">
        <w:rPr>
          <w:rStyle w:val="Bodytext26"/>
          <w:rFonts w:ascii="GHEA Grapalat" w:hAnsi="GHEA Grapalat"/>
          <w:sz w:val="24"/>
          <w:szCs w:val="24"/>
        </w:rPr>
        <w:t>ուշադրության կենտրոնում</w:t>
      </w:r>
      <w:r w:rsidRPr="00A350E1">
        <w:rPr>
          <w:rStyle w:val="Bodytext26"/>
          <w:rFonts w:ascii="GHEA Grapalat" w:hAnsi="GHEA Grapalat"/>
          <w:sz w:val="24"/>
          <w:szCs w:val="24"/>
        </w:rPr>
        <w:t xml:space="preserve"> է լինելու </w:t>
      </w:r>
      <w:r w:rsidR="001C5F4F" w:rsidRPr="00A350E1">
        <w:rPr>
          <w:rStyle w:val="Bodytext26"/>
          <w:rFonts w:ascii="GHEA Grapalat" w:hAnsi="GHEA Grapalat"/>
          <w:sz w:val="24"/>
          <w:szCs w:val="24"/>
        </w:rPr>
        <w:t>«Պետություն-մասնավոր գործընկերության մասին» համընդհանուր</w:t>
      </w:r>
      <w:r w:rsidR="00045D5B" w:rsidRPr="00A350E1">
        <w:rPr>
          <w:rStyle w:val="Bodytext26"/>
          <w:rFonts w:ascii="GHEA Grapalat" w:hAnsi="GHEA Grapalat"/>
          <w:sz w:val="24"/>
          <w:szCs w:val="24"/>
        </w:rPr>
        <w:t xml:space="preserve"> օրենքի </w:t>
      </w:r>
      <w:r w:rsidR="00A350E1">
        <w:rPr>
          <w:rStyle w:val="Bodytext26"/>
          <w:rFonts w:ascii="GHEA Grapalat" w:hAnsi="GHEA Grapalat"/>
          <w:sz w:val="24"/>
          <w:szCs w:val="24"/>
        </w:rPr>
        <w:t>եւ</w:t>
      </w:r>
      <w:r w:rsidR="00045D5B" w:rsidRPr="00A350E1">
        <w:rPr>
          <w:rStyle w:val="Bodytext26"/>
          <w:rFonts w:ascii="GHEA Grapalat" w:hAnsi="GHEA Grapalat"/>
          <w:sz w:val="24"/>
          <w:szCs w:val="24"/>
        </w:rPr>
        <w:t xml:space="preserve"> ենթաօրենսդրական ակտերի</w:t>
      </w:r>
      <w:r w:rsidRPr="00A350E1">
        <w:rPr>
          <w:rStyle w:val="Bodytext26"/>
          <w:rFonts w:ascii="GHEA Grapalat" w:hAnsi="GHEA Grapalat"/>
          <w:sz w:val="24"/>
          <w:szCs w:val="24"/>
        </w:rPr>
        <w:t xml:space="preserve"> մշակու</w:t>
      </w:r>
      <w:r w:rsidR="007D5F6D" w:rsidRPr="00A350E1">
        <w:rPr>
          <w:rStyle w:val="Bodytext26"/>
          <w:rFonts w:ascii="GHEA Grapalat" w:hAnsi="GHEA Grapalat"/>
          <w:sz w:val="24"/>
          <w:szCs w:val="24"/>
        </w:rPr>
        <w:t>մը</w:t>
      </w:r>
      <w:r w:rsidR="005E464B" w:rsidRPr="00A350E1">
        <w:rPr>
          <w:rStyle w:val="Bodytext26"/>
          <w:rFonts w:ascii="GHEA Grapalat" w:hAnsi="GHEA Grapalat"/>
          <w:sz w:val="24"/>
          <w:szCs w:val="24"/>
        </w:rPr>
        <w:t>, որոնք</w:t>
      </w:r>
      <w:r w:rsidR="00A350E1">
        <w:rPr>
          <w:rStyle w:val="Bodytext26"/>
          <w:rFonts w:ascii="GHEA Grapalat" w:hAnsi="GHEA Grapalat"/>
          <w:sz w:val="24"/>
          <w:szCs w:val="24"/>
        </w:rPr>
        <w:t xml:space="preserve"> </w:t>
      </w:r>
      <w:r w:rsidR="005E464B" w:rsidRPr="00A350E1">
        <w:rPr>
          <w:rStyle w:val="Bodytext26"/>
          <w:rFonts w:ascii="GHEA Grapalat" w:hAnsi="GHEA Grapalat"/>
          <w:sz w:val="24"/>
          <w:szCs w:val="24"/>
        </w:rPr>
        <w:t>կ</w:t>
      </w:r>
      <w:r w:rsidR="00834F33" w:rsidRPr="00A350E1">
        <w:rPr>
          <w:rStyle w:val="Bodytext26"/>
          <w:rFonts w:ascii="GHEA Grapalat" w:hAnsi="GHEA Grapalat"/>
          <w:sz w:val="24"/>
          <w:szCs w:val="24"/>
        </w:rPr>
        <w:t>աջակցե</w:t>
      </w:r>
      <w:r w:rsidR="005E464B" w:rsidRPr="00A350E1">
        <w:rPr>
          <w:rStyle w:val="Bodytext26"/>
          <w:rFonts w:ascii="GHEA Grapalat" w:hAnsi="GHEA Grapalat"/>
          <w:sz w:val="24"/>
          <w:szCs w:val="24"/>
        </w:rPr>
        <w:t>ն</w:t>
      </w:r>
      <w:r w:rsidR="00834F33" w:rsidRPr="00A350E1">
        <w:rPr>
          <w:rStyle w:val="Bodytext26"/>
          <w:rFonts w:ascii="GHEA Grapalat" w:hAnsi="GHEA Grapalat"/>
          <w:sz w:val="24"/>
          <w:szCs w:val="24"/>
        </w:rPr>
        <w:t xml:space="preserve"> ՊՄԳ օղակի ստեղծմանը</w:t>
      </w:r>
      <w:r w:rsidR="00BA1785" w:rsidRPr="00A350E1">
        <w:rPr>
          <w:rStyle w:val="Bodytext26"/>
          <w:rFonts w:ascii="GHEA Grapalat" w:hAnsi="GHEA Grapalat"/>
          <w:sz w:val="24"/>
          <w:szCs w:val="24"/>
        </w:rPr>
        <w:t>՝</w:t>
      </w:r>
      <w:r w:rsidR="00834F33"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ՊՄԳ </w:t>
      </w:r>
      <w:r w:rsidR="00BA1785" w:rsidRPr="00A350E1">
        <w:rPr>
          <w:rStyle w:val="Bodytext26"/>
          <w:rFonts w:ascii="GHEA Grapalat" w:hAnsi="GHEA Grapalat"/>
          <w:sz w:val="24"/>
          <w:szCs w:val="24"/>
        </w:rPr>
        <w:t xml:space="preserve">շրջանակներում </w:t>
      </w:r>
      <w:r w:rsidRPr="00A350E1">
        <w:rPr>
          <w:rStyle w:val="Bodytext26"/>
          <w:rFonts w:ascii="GHEA Grapalat" w:hAnsi="GHEA Grapalat"/>
          <w:sz w:val="24"/>
          <w:szCs w:val="24"/>
        </w:rPr>
        <w:t xml:space="preserve">նախագծերը պատրաստելու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ընտրելու նպատակով։ Ամբողջ գործընթացը </w:t>
      </w:r>
      <w:r w:rsidR="00A35D63" w:rsidRPr="00A350E1">
        <w:rPr>
          <w:rStyle w:val="Bodytext26"/>
          <w:rFonts w:ascii="GHEA Grapalat" w:hAnsi="GHEA Grapalat"/>
          <w:sz w:val="24"/>
          <w:szCs w:val="24"/>
        </w:rPr>
        <w:t>կ</w:t>
      </w:r>
      <w:r w:rsidRPr="00A350E1">
        <w:rPr>
          <w:rStyle w:val="Bodytext26"/>
          <w:rFonts w:ascii="GHEA Grapalat" w:hAnsi="GHEA Grapalat"/>
          <w:sz w:val="24"/>
          <w:szCs w:val="24"/>
        </w:rPr>
        <w:t>ընդգրկվ</w:t>
      </w:r>
      <w:r w:rsidR="00123B44" w:rsidRPr="00A350E1">
        <w:rPr>
          <w:rStyle w:val="Bodytext26"/>
          <w:rFonts w:ascii="GHEA Grapalat" w:hAnsi="GHEA Grapalat"/>
          <w:sz w:val="24"/>
          <w:szCs w:val="24"/>
        </w:rPr>
        <w:t>ի</w:t>
      </w:r>
      <w:r w:rsidRPr="00A350E1">
        <w:rPr>
          <w:rStyle w:val="Bodytext26"/>
          <w:rFonts w:ascii="GHEA Grapalat" w:hAnsi="GHEA Grapalat"/>
          <w:sz w:val="24"/>
          <w:szCs w:val="24"/>
        </w:rPr>
        <w:t xml:space="preserve"> Պետական ներդրումների կառավարման ընդհանուր շրջանակ</w:t>
      </w:r>
      <w:r w:rsidR="00A35D63" w:rsidRPr="00A350E1">
        <w:rPr>
          <w:rStyle w:val="Bodytext26"/>
          <w:rFonts w:ascii="GHEA Grapalat" w:hAnsi="GHEA Grapalat"/>
          <w:sz w:val="24"/>
          <w:szCs w:val="24"/>
        </w:rPr>
        <w:t>ում</w:t>
      </w:r>
      <w:r w:rsidRPr="00A350E1">
        <w:rPr>
          <w:rStyle w:val="Bodytext26"/>
          <w:rFonts w:ascii="GHEA Grapalat" w:hAnsi="GHEA Grapalat"/>
          <w:sz w:val="24"/>
          <w:szCs w:val="24"/>
        </w:rPr>
        <w:t>։</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«Պետական գնումների մասին» նոր օրենքի կիրարկումը</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ԵՄ</w:t>
      </w:r>
      <w:r w:rsidR="00617988">
        <w:rPr>
          <w:rStyle w:val="Bodytext26"/>
          <w:rFonts w:ascii="GHEA Grapalat" w:hAnsi="GHEA Grapalat"/>
          <w:sz w:val="24"/>
          <w:szCs w:val="24"/>
        </w:rPr>
        <w:t>-</w:t>
      </w:r>
      <w:r w:rsidRPr="00A350E1">
        <w:rPr>
          <w:rStyle w:val="Bodytext26"/>
          <w:rFonts w:ascii="GHEA Grapalat" w:hAnsi="GHEA Grapalat"/>
          <w:sz w:val="24"/>
          <w:szCs w:val="24"/>
        </w:rPr>
        <w:t>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այս ոլորտին աջակցություն է տրամադրել ինչպես ՍԻԳՄԱ/ՏՀ</w:t>
      </w:r>
      <w:r w:rsidR="007821C9" w:rsidRPr="00A350E1">
        <w:rPr>
          <w:rStyle w:val="Bodytext26"/>
          <w:rFonts w:ascii="GHEA Grapalat" w:hAnsi="GHEA Grapalat"/>
          <w:sz w:val="24"/>
          <w:szCs w:val="24"/>
        </w:rPr>
        <w:t>Զ</w:t>
      </w:r>
      <w:r w:rsidRPr="00A350E1">
        <w:rPr>
          <w:rStyle w:val="Bodytext26"/>
          <w:rFonts w:ascii="GHEA Grapalat" w:hAnsi="GHEA Grapalat"/>
          <w:sz w:val="24"/>
          <w:szCs w:val="24"/>
        </w:rPr>
        <w:t>Կ-ի, այնպես բյուջետային աջակցության միջոցով։ Գործողության միջոցառումներ</w:t>
      </w:r>
      <w:r w:rsidR="00EC0012" w:rsidRPr="00A350E1">
        <w:rPr>
          <w:rStyle w:val="Bodytext26"/>
          <w:rFonts w:ascii="GHEA Grapalat" w:hAnsi="GHEA Grapalat"/>
          <w:sz w:val="24"/>
          <w:szCs w:val="24"/>
        </w:rPr>
        <w:t>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lastRenderedPageBreak/>
        <w:t xml:space="preserve">օրենքի կիրարկումը կլրացնեն ԱՀԿ ՊԳՀ -ին համապատասխան էլեկտրոնային գործիքների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ընթացակարգերի ներդրման միջոցով։ ՎԶԵԲ-ը կաջակցի գնումների էլ</w:t>
      </w:r>
      <w:r w:rsidR="00333214">
        <w:rPr>
          <w:rStyle w:val="Bodytext26"/>
          <w:rFonts w:ascii="GHEA Grapalat" w:hAnsi="GHEA Grapalat"/>
          <w:sz w:val="24"/>
          <w:szCs w:val="24"/>
        </w:rPr>
        <w:t>ե</w:t>
      </w:r>
      <w:r w:rsidRPr="00A350E1">
        <w:rPr>
          <w:rStyle w:val="Bodytext26"/>
          <w:rFonts w:ascii="GHEA Grapalat" w:hAnsi="GHEA Grapalat"/>
          <w:sz w:val="24"/>
          <w:szCs w:val="24"/>
        </w:rPr>
        <w:t>կտրոնային համակարգի կիրառման հարցում, մինչդեռ</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տեխնիկական աջակցման մյուս միջոցները ՍԻԳՄԱ-ի հետ համաձայնեցմամբ կարող են ընդգրկել այլ գործողություններ։ Կարող է նախատեսվել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շարունակական աջակցության չափի ավելացում։</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Աջակցություն</w:t>
      </w:r>
      <w:r w:rsidR="00EC0012" w:rsidRPr="00A350E1">
        <w:rPr>
          <w:rStyle w:val="Heading21"/>
          <w:rFonts w:ascii="GHEA Grapalat" w:hAnsi="GHEA Grapalat"/>
          <w:b/>
          <w:sz w:val="24"/>
          <w:szCs w:val="24"/>
        </w:rPr>
        <w:t>՝</w:t>
      </w:r>
      <w:r w:rsidRPr="00A350E1">
        <w:rPr>
          <w:rStyle w:val="Heading21"/>
          <w:rFonts w:ascii="GHEA Grapalat" w:hAnsi="GHEA Grapalat"/>
          <w:b/>
          <w:sz w:val="24"/>
          <w:szCs w:val="24"/>
        </w:rPr>
        <w:t xml:space="preserve"> տեղական արժույթի </w:t>
      </w:r>
      <w:r w:rsidR="001118B9" w:rsidRPr="00A350E1">
        <w:rPr>
          <w:rStyle w:val="Heading21"/>
          <w:rFonts w:ascii="GHEA Grapalat" w:hAnsi="GHEA Grapalat"/>
          <w:b/>
          <w:sz w:val="24"/>
          <w:szCs w:val="24"/>
        </w:rPr>
        <w:t>եւ</w:t>
      </w:r>
      <w:r w:rsidRPr="00A350E1">
        <w:rPr>
          <w:rStyle w:val="Heading21"/>
          <w:rFonts w:ascii="GHEA Grapalat" w:hAnsi="GHEA Grapalat"/>
          <w:b/>
          <w:sz w:val="24"/>
          <w:szCs w:val="24"/>
        </w:rPr>
        <w:t xml:space="preserve"> կապիտալի շուկայի զարգացման ուղղությամբ</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2011 թվականից ի վեր ՎԶԵԲ-ը տեղական կապիտալի շուկան բարելավելու </w:t>
      </w:r>
      <w:r w:rsidR="00E142CE" w:rsidRPr="00A350E1">
        <w:rPr>
          <w:rStyle w:val="Bodytext26"/>
          <w:rFonts w:ascii="GHEA Grapalat" w:hAnsi="GHEA Grapalat"/>
          <w:sz w:val="24"/>
          <w:szCs w:val="24"/>
        </w:rPr>
        <w:t>ուղղությամբ</w:t>
      </w:r>
      <w:r w:rsidR="007821C9" w:rsidRPr="00A350E1">
        <w:rPr>
          <w:rStyle w:val="Bodytext26"/>
          <w:rFonts w:ascii="GHEA Grapalat" w:hAnsi="GHEA Grapalat"/>
          <w:sz w:val="24"/>
          <w:szCs w:val="24"/>
        </w:rPr>
        <w:t xml:space="preserve"> </w:t>
      </w:r>
      <w:r w:rsidRPr="00A350E1">
        <w:rPr>
          <w:rStyle w:val="Bodytext26"/>
          <w:rFonts w:ascii="GHEA Grapalat" w:hAnsi="GHEA Grapalat"/>
          <w:sz w:val="24"/>
          <w:szCs w:val="24"/>
        </w:rPr>
        <w:t>աշխատել է Հայաստանի կենտրոնական բանկի հետ (ՀԿԲ)։ Բոլոր հիմնական շահագրգիռ կողմեր</w:t>
      </w:r>
      <w:r w:rsidR="00E142CE" w:rsidRPr="00A350E1">
        <w:rPr>
          <w:rStyle w:val="Bodytext26"/>
          <w:rFonts w:ascii="GHEA Grapalat" w:hAnsi="GHEA Grapalat"/>
          <w:sz w:val="24"/>
          <w:szCs w:val="24"/>
        </w:rPr>
        <w:t>ը</w:t>
      </w:r>
      <w:r w:rsidRPr="00A350E1">
        <w:rPr>
          <w:rStyle w:val="Bodytext26"/>
          <w:rFonts w:ascii="GHEA Grapalat" w:hAnsi="GHEA Grapalat"/>
          <w:sz w:val="24"/>
          <w:szCs w:val="24"/>
        </w:rPr>
        <w:t xml:space="preserve"> ներ</w:t>
      </w:r>
      <w:r w:rsidR="00E142CE" w:rsidRPr="00A350E1">
        <w:rPr>
          <w:rStyle w:val="Bodytext26"/>
          <w:rFonts w:ascii="GHEA Grapalat" w:hAnsi="GHEA Grapalat"/>
          <w:sz w:val="24"/>
          <w:szCs w:val="24"/>
        </w:rPr>
        <w:t>առող</w:t>
      </w:r>
      <w:r w:rsidRPr="00A350E1">
        <w:rPr>
          <w:rStyle w:val="Bodytext26"/>
          <w:rFonts w:ascii="GHEA Grapalat" w:hAnsi="GHEA Grapalat"/>
          <w:sz w:val="24"/>
          <w:szCs w:val="24"/>
        </w:rPr>
        <w:t xml:space="preserve"> բարձր մակարդակի ղեկավար կոմիտեն ակտիվ է,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արդեն բազմաթիվ բարեփոխումներ են իրականացվել։ Գործողության միջոցառումները կնպաստեն Հ</w:t>
      </w:r>
      <w:r w:rsidR="00E142CE" w:rsidRPr="00A350E1">
        <w:rPr>
          <w:rStyle w:val="Bodytext26"/>
          <w:rFonts w:ascii="GHEA Grapalat" w:hAnsi="GHEA Grapalat"/>
          <w:sz w:val="24"/>
          <w:szCs w:val="24"/>
        </w:rPr>
        <w:t xml:space="preserve">Հ </w:t>
      </w:r>
      <w:r w:rsidRPr="00A350E1">
        <w:rPr>
          <w:rStyle w:val="Bodytext26"/>
          <w:rFonts w:ascii="GHEA Grapalat" w:hAnsi="GHEA Grapalat"/>
          <w:sz w:val="24"/>
          <w:szCs w:val="24"/>
        </w:rPr>
        <w:t xml:space="preserve">ԿԲ գործողությունների ծրագրի իրականացմանը (միջբանկային ռեպո գործարքների շուկայի, ածանցյալ </w:t>
      </w:r>
      <w:r w:rsidRPr="003F7011">
        <w:rPr>
          <w:rStyle w:val="Bodytext26"/>
          <w:rFonts w:ascii="GHEA Grapalat" w:hAnsi="GHEA Grapalat"/>
          <w:spacing w:val="-4"/>
          <w:sz w:val="24"/>
          <w:szCs w:val="24"/>
        </w:rPr>
        <w:t xml:space="preserve">ֆինանսական գործիքների շուկայի, պարտատոմսերի շուկայի </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 արժեթղթերի առ</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տրի զարգացում </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 այլ</w:t>
      </w:r>
      <w:r w:rsidR="00E142CE" w:rsidRPr="003F7011">
        <w:rPr>
          <w:rStyle w:val="Bodytext26"/>
          <w:rFonts w:ascii="GHEA Grapalat" w:hAnsi="GHEA Grapalat"/>
          <w:spacing w:val="-4"/>
          <w:sz w:val="24"/>
          <w:szCs w:val="24"/>
        </w:rPr>
        <w:t>ն</w:t>
      </w:r>
      <w:r w:rsidRPr="003F7011">
        <w:rPr>
          <w:rStyle w:val="Bodytext26"/>
          <w:rFonts w:ascii="GHEA Grapalat" w:hAnsi="GHEA Grapalat"/>
          <w:spacing w:val="-4"/>
          <w:sz w:val="24"/>
          <w:szCs w:val="24"/>
        </w:rPr>
        <w:t>)</w:t>
      </w:r>
      <w:r w:rsidR="00EC0012" w:rsidRPr="003F7011">
        <w:rPr>
          <w:rStyle w:val="Bodytext26"/>
          <w:rFonts w:ascii="GHEA Grapalat" w:hAnsi="GHEA Grapalat"/>
          <w:spacing w:val="-4"/>
          <w:sz w:val="24"/>
          <w:szCs w:val="24"/>
        </w:rPr>
        <w:t>,</w:t>
      </w:r>
      <w:r w:rsidRPr="003F7011">
        <w:rPr>
          <w:rStyle w:val="Bodytext26"/>
          <w:rFonts w:ascii="GHEA Grapalat" w:hAnsi="GHEA Grapalat"/>
          <w:spacing w:val="-4"/>
          <w:sz w:val="24"/>
          <w:szCs w:val="24"/>
        </w:rPr>
        <w:t xml:space="preserve"> </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 կձեռնարկ</w:t>
      </w:r>
      <w:r w:rsidR="00EC0012" w:rsidRPr="003F7011">
        <w:rPr>
          <w:rStyle w:val="Bodytext26"/>
          <w:rFonts w:ascii="GHEA Grapalat" w:hAnsi="GHEA Grapalat"/>
          <w:spacing w:val="-4"/>
          <w:sz w:val="24"/>
          <w:szCs w:val="24"/>
        </w:rPr>
        <w:t>վեն</w:t>
      </w:r>
      <w:r w:rsidRPr="003F7011">
        <w:rPr>
          <w:rStyle w:val="Bodytext26"/>
          <w:rFonts w:ascii="GHEA Grapalat" w:hAnsi="GHEA Grapalat"/>
          <w:spacing w:val="-4"/>
          <w:sz w:val="24"/>
          <w:szCs w:val="24"/>
        </w:rPr>
        <w:t xml:space="preserve"> միջոցառումներ՝ ուղղված</w:t>
      </w:r>
      <w:r w:rsidRPr="00A350E1">
        <w:rPr>
          <w:rStyle w:val="Bodytext26"/>
          <w:rFonts w:ascii="GHEA Grapalat" w:hAnsi="GHEA Grapalat"/>
          <w:sz w:val="24"/>
          <w:szCs w:val="24"/>
        </w:rPr>
        <w:t xml:space="preserve"> ՓՄՁ-ների համար կապիտալի շուկաների մատչելիության բարելավմանը։</w:t>
      </w:r>
    </w:p>
    <w:p w:rsidR="003F7011" w:rsidRDefault="003F7011" w:rsidP="00617988">
      <w:pPr>
        <w:pStyle w:val="Bodytext50"/>
        <w:shd w:val="clear" w:color="auto" w:fill="auto"/>
        <w:tabs>
          <w:tab w:val="left" w:pos="1134"/>
        </w:tabs>
        <w:spacing w:before="0" w:after="160" w:line="360" w:lineRule="auto"/>
        <w:ind w:right="-1" w:firstLine="567"/>
        <w:jc w:val="left"/>
        <w:rPr>
          <w:rStyle w:val="Bodytext51"/>
          <w:rFonts w:ascii="GHEA Grapalat" w:hAnsi="GHEA Grapalat"/>
          <w:b/>
          <w:sz w:val="24"/>
          <w:szCs w:val="24"/>
          <w:lang w:val="ru-RU"/>
        </w:rPr>
      </w:pPr>
    </w:p>
    <w:p w:rsidR="00C15D0A" w:rsidRDefault="001A58C9" w:rsidP="00617988">
      <w:pPr>
        <w:pStyle w:val="Bodytext50"/>
        <w:shd w:val="clear" w:color="auto" w:fill="auto"/>
        <w:tabs>
          <w:tab w:val="left" w:pos="1134"/>
        </w:tabs>
        <w:spacing w:before="0" w:after="160" w:line="360" w:lineRule="auto"/>
        <w:ind w:right="-1" w:firstLine="567"/>
        <w:jc w:val="left"/>
        <w:rPr>
          <w:rStyle w:val="Bodytext51"/>
          <w:rFonts w:ascii="GHEA Grapalat" w:hAnsi="GHEA Grapalat"/>
          <w:b/>
          <w:sz w:val="24"/>
          <w:szCs w:val="24"/>
        </w:rPr>
      </w:pPr>
      <w:r w:rsidRPr="00A350E1">
        <w:rPr>
          <w:rStyle w:val="Bodytext51"/>
          <w:rFonts w:ascii="GHEA Grapalat" w:hAnsi="GHEA Grapalat"/>
          <w:b/>
          <w:sz w:val="24"/>
          <w:szCs w:val="24"/>
        </w:rPr>
        <w:t>Բաղադրիչ 2.</w:t>
      </w:r>
      <w:r w:rsidR="00617988">
        <w:rPr>
          <w:rStyle w:val="Bodytext51"/>
          <w:rFonts w:ascii="GHEA Grapalat" w:hAnsi="GHEA Grapalat"/>
          <w:b/>
          <w:sz w:val="24"/>
          <w:szCs w:val="24"/>
        </w:rPr>
        <w:tab/>
      </w:r>
      <w:r w:rsidRPr="00A350E1">
        <w:rPr>
          <w:rStyle w:val="Bodytext51"/>
          <w:rFonts w:ascii="GHEA Grapalat" w:hAnsi="GHEA Grapalat"/>
          <w:b/>
          <w:sz w:val="24"/>
          <w:szCs w:val="24"/>
        </w:rPr>
        <w:t xml:space="preserve">Բիզնես </w:t>
      </w:r>
      <w:r w:rsidR="001118B9" w:rsidRPr="00A350E1">
        <w:rPr>
          <w:rStyle w:val="Bodytext51"/>
          <w:rFonts w:ascii="GHEA Grapalat" w:hAnsi="GHEA Grapalat"/>
          <w:b/>
          <w:sz w:val="24"/>
          <w:szCs w:val="24"/>
        </w:rPr>
        <w:t>եւ</w:t>
      </w:r>
      <w:r w:rsidRPr="00A350E1">
        <w:rPr>
          <w:rStyle w:val="Bodytext51"/>
          <w:rFonts w:ascii="GHEA Grapalat" w:hAnsi="GHEA Grapalat"/>
          <w:b/>
          <w:sz w:val="24"/>
          <w:szCs w:val="24"/>
        </w:rPr>
        <w:t xml:space="preserve"> ներդրումային միջավայր</w:t>
      </w:r>
    </w:p>
    <w:p w:rsidR="00617988" w:rsidRPr="00A350E1" w:rsidRDefault="00617988" w:rsidP="00617988">
      <w:pPr>
        <w:pStyle w:val="Bodytext50"/>
        <w:shd w:val="clear" w:color="auto" w:fill="auto"/>
        <w:spacing w:before="0" w:after="160" w:line="360" w:lineRule="auto"/>
        <w:ind w:right="-1" w:firstLine="567"/>
        <w:rPr>
          <w:rFonts w:ascii="GHEA Grapalat" w:hAnsi="GHEA Grapalat" w:cs="Sylfaen"/>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Աջակցություն</w:t>
      </w:r>
      <w:r w:rsidR="00EC0012" w:rsidRPr="00A350E1">
        <w:rPr>
          <w:rStyle w:val="Heading21"/>
          <w:rFonts w:ascii="GHEA Grapalat" w:hAnsi="GHEA Grapalat"/>
          <w:b/>
          <w:sz w:val="24"/>
          <w:szCs w:val="24"/>
        </w:rPr>
        <w:t>՝</w:t>
      </w:r>
      <w:r w:rsidRPr="00A350E1">
        <w:rPr>
          <w:rStyle w:val="Heading21"/>
          <w:rFonts w:ascii="GHEA Grapalat" w:hAnsi="GHEA Grapalat"/>
          <w:b/>
          <w:sz w:val="24"/>
          <w:szCs w:val="24"/>
        </w:rPr>
        <w:t xml:space="preserve"> կարգավորման ազդեցության գնահատման (ԿԱԳ) ուղղությամբ</w:t>
      </w:r>
    </w:p>
    <w:p w:rsidR="00C15D0A" w:rsidRDefault="001A58C9" w:rsidP="00A350E1">
      <w:pPr>
        <w:pStyle w:val="Bodytext20"/>
        <w:shd w:val="clear" w:color="auto" w:fill="auto"/>
        <w:spacing w:after="160" w:line="360" w:lineRule="auto"/>
        <w:ind w:right="-1" w:firstLine="0"/>
        <w:jc w:val="both"/>
        <w:rPr>
          <w:rStyle w:val="Bodytext26"/>
          <w:rFonts w:ascii="GHEA Grapalat" w:hAnsi="GHEA Grapalat"/>
          <w:sz w:val="24"/>
          <w:szCs w:val="24"/>
        </w:rPr>
      </w:pPr>
      <w:r w:rsidRPr="00A350E1">
        <w:rPr>
          <w:rStyle w:val="Bodytext26"/>
          <w:rFonts w:ascii="GHEA Grapalat" w:hAnsi="GHEA Grapalat"/>
          <w:sz w:val="24"/>
          <w:szCs w:val="24"/>
        </w:rPr>
        <w:t xml:space="preserve">ԿԱԳ գործընթացին ի սկզբանե աջակցել է ԵՄ-ն, հետագայում հիմնվելով ԵՄ ծրագրի արդյունքի վրա՝ բազմադոնոր խումբը կարգավորման </w:t>
      </w:r>
      <w:r w:rsidR="00E142CE" w:rsidRPr="00A350E1">
        <w:rPr>
          <w:rStyle w:val="Bodytext26"/>
          <w:rFonts w:ascii="GHEA Grapalat" w:hAnsi="GHEA Grapalat"/>
          <w:sz w:val="24"/>
          <w:szCs w:val="24"/>
        </w:rPr>
        <w:t>ընդհանուր</w:t>
      </w:r>
      <w:r w:rsidR="006B4CE8"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շրջանակում գիլյոտինային բարեփոխումներ իրականացնելու հարցում օգնել է </w:t>
      </w:r>
      <w:r w:rsidRPr="00A350E1">
        <w:rPr>
          <w:rStyle w:val="Bodytext26"/>
          <w:rFonts w:ascii="GHEA Grapalat" w:hAnsi="GHEA Grapalat"/>
          <w:sz w:val="24"/>
          <w:szCs w:val="24"/>
        </w:rPr>
        <w:lastRenderedPageBreak/>
        <w:t>Կառավարությանը։</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Մինչ ՀԲ-</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Ե</w:t>
      </w:r>
      <w:r w:rsidR="00E142CE" w:rsidRPr="00A350E1">
        <w:rPr>
          <w:rStyle w:val="Bodytext26"/>
          <w:rFonts w:ascii="GHEA Grapalat" w:hAnsi="GHEA Grapalat"/>
          <w:sz w:val="24"/>
          <w:szCs w:val="24"/>
        </w:rPr>
        <w:t>Մ</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անդամ պետությունների կողմից աջակցությա</w:t>
      </w:r>
      <w:r w:rsidR="00E142CE" w:rsidRPr="00A350E1">
        <w:rPr>
          <w:rStyle w:val="Bodytext26"/>
          <w:rFonts w:ascii="GHEA Grapalat" w:hAnsi="GHEA Grapalat"/>
          <w:sz w:val="24"/>
          <w:szCs w:val="24"/>
        </w:rPr>
        <w:t>մբ</w:t>
      </w:r>
      <w:r w:rsidRPr="00A350E1">
        <w:rPr>
          <w:rStyle w:val="Bodytext26"/>
          <w:rFonts w:ascii="GHEA Grapalat" w:hAnsi="GHEA Grapalat"/>
          <w:sz w:val="24"/>
          <w:szCs w:val="24"/>
        </w:rPr>
        <w:t xml:space="preserve"> կարողացել է նախնական գիլյոտինային բարեփոխումների արդյունքում հասնել որոշ «արագ հաղթանակների», ներկայումս ԿԱԳ-ը որպես </w:t>
      </w:r>
      <w:r w:rsidR="00E142CE" w:rsidRPr="00A350E1">
        <w:rPr>
          <w:rStyle w:val="Bodytext26"/>
          <w:rFonts w:ascii="GHEA Grapalat" w:hAnsi="GHEA Grapalat"/>
          <w:sz w:val="24"/>
          <w:szCs w:val="24"/>
        </w:rPr>
        <w:t>ինստիտուտ</w:t>
      </w:r>
      <w:r w:rsidR="002F4FB8"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դեռ գործունակ չէ,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դեռ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ս անհրաժեշտ </w:t>
      </w:r>
      <w:r w:rsidR="00EC0012" w:rsidRPr="00A350E1">
        <w:rPr>
          <w:rStyle w:val="Bodytext26"/>
          <w:rFonts w:ascii="GHEA Grapalat" w:hAnsi="GHEA Grapalat"/>
          <w:sz w:val="24"/>
          <w:szCs w:val="24"/>
        </w:rPr>
        <w:t>են</w:t>
      </w:r>
      <w:r w:rsidRPr="00A350E1">
        <w:rPr>
          <w:rStyle w:val="Bodytext26"/>
          <w:rFonts w:ascii="GHEA Grapalat" w:hAnsi="GHEA Grapalat"/>
          <w:sz w:val="24"/>
          <w:szCs w:val="24"/>
        </w:rPr>
        <w:t xml:space="preserve"> կարգավորման գործընթացի էական պարզեցում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բարեփոխումների խթանման հարցում ինստիտուցիոնալ առաջատարի առկայության ապահովում։ Միջոցառումները կներառեն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նախարար</w:t>
      </w:r>
      <w:r w:rsidR="00E142CE" w:rsidRPr="00A350E1">
        <w:rPr>
          <w:rStyle w:val="Bodytext26"/>
          <w:rFonts w:ascii="GHEA Grapalat" w:hAnsi="GHEA Grapalat"/>
          <w:sz w:val="24"/>
          <w:szCs w:val="24"/>
        </w:rPr>
        <w:t>ություն</w:t>
      </w:r>
      <w:r w:rsidRPr="00A350E1">
        <w:rPr>
          <w:rStyle w:val="Bodytext26"/>
          <w:rFonts w:ascii="GHEA Grapalat" w:hAnsi="GHEA Grapalat"/>
          <w:sz w:val="24"/>
          <w:szCs w:val="24"/>
        </w:rPr>
        <w:t xml:space="preserve">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կարգավորող մարմինների լայն շրջանակ,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կնպաստեն </w:t>
      </w:r>
      <w:r w:rsidR="00E142CE" w:rsidRPr="00A350E1">
        <w:rPr>
          <w:rStyle w:val="Bodytext26"/>
          <w:rFonts w:ascii="GHEA Grapalat" w:hAnsi="GHEA Grapalat"/>
          <w:sz w:val="24"/>
          <w:szCs w:val="24"/>
        </w:rPr>
        <w:t>պ</w:t>
      </w:r>
      <w:r w:rsidRPr="00A350E1">
        <w:rPr>
          <w:rStyle w:val="Bodytext26"/>
          <w:rFonts w:ascii="GHEA Grapalat" w:hAnsi="GHEA Grapalat"/>
          <w:sz w:val="24"/>
          <w:szCs w:val="24"/>
        </w:rPr>
        <w:t>ետական-մասնավոր</w:t>
      </w:r>
      <w:r w:rsidR="00E142CE" w:rsidRPr="00A350E1">
        <w:rPr>
          <w:rStyle w:val="Bodytext26"/>
          <w:rFonts w:ascii="GHEA Grapalat" w:hAnsi="GHEA Grapalat"/>
          <w:sz w:val="24"/>
          <w:szCs w:val="24"/>
        </w:rPr>
        <w:t xml:space="preserve"> հատված</w:t>
      </w:r>
      <w:r w:rsidRPr="00A350E1">
        <w:rPr>
          <w:rStyle w:val="Bodytext26"/>
          <w:rFonts w:ascii="GHEA Grapalat" w:hAnsi="GHEA Grapalat"/>
          <w:sz w:val="24"/>
          <w:szCs w:val="24"/>
        </w:rPr>
        <w:t xml:space="preserve"> երկխոսության ինստիտուցիոնալիզացմանը՝ այն դարձնելով ավելի արդյունավետ։ Հաշվի առնելով նախկին բազմադոնոր խմբում ՀԲ-ի ներգրավման հանգամանքը՝ այն համարվում է այս առաջադրանքի հնարավոր իրականացնողը։</w:t>
      </w:r>
    </w:p>
    <w:p w:rsidR="00617988" w:rsidRPr="00A350E1" w:rsidRDefault="00617988" w:rsidP="00A350E1">
      <w:pPr>
        <w:pStyle w:val="Bodytext20"/>
        <w:shd w:val="clear" w:color="auto" w:fill="auto"/>
        <w:spacing w:after="160" w:line="360" w:lineRule="auto"/>
        <w:ind w:right="-1" w:firstLine="0"/>
        <w:jc w:val="both"/>
        <w:rPr>
          <w:rFonts w:ascii="GHEA Grapalat" w:hAnsi="GHEA Grapalat" w:cs="Sylfaen"/>
          <w:sz w:val="24"/>
          <w:szCs w:val="24"/>
        </w:rPr>
      </w:pP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«Գործարարների շահերի պաշտպանի» գործառույթների սահմանում</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ՎԶԵԲ-ը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ԵՄ-ն Կառավարության հետ համատեղ ներգրավվել են այդ գործառույթների զարգացման գործում։ 2015-2106 թվականներին ՎԶԵԲ-ը «Գործարարների շահերի պաշտպանի մասին» օրենքի մշակման հարցում աջակցել է Կառավարությանը։ Ցավոք, գործընթացը դադարեցվել է, քանի որ ի</w:t>
      </w:r>
      <w:r w:rsidR="003F7011" w:rsidRPr="003F7011">
        <w:rPr>
          <w:rStyle w:val="Bodytext26"/>
          <w:rFonts w:ascii="Courier New" w:hAnsi="Courier New" w:cs="Courier New"/>
          <w:sz w:val="24"/>
          <w:szCs w:val="24"/>
        </w:rPr>
        <w:t> </w:t>
      </w:r>
      <w:r w:rsidRPr="00A350E1">
        <w:rPr>
          <w:rStyle w:val="Bodytext26"/>
          <w:rFonts w:ascii="GHEA Grapalat" w:hAnsi="GHEA Grapalat"/>
          <w:sz w:val="24"/>
          <w:szCs w:val="24"/>
        </w:rPr>
        <w:t xml:space="preserve">հայտ են եկել որոշ իրավական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ֆինանսական խոչընդոտներ։ Միջոցառումները հիմնված կլինեն ՎԶԵԲ-ի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Կառավարության 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համագործակցության վրա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բարձր մակարդակով կլրացնեն ԵՄ-ի կողմից </w:t>
      </w:r>
      <w:r w:rsidR="00E142CE" w:rsidRPr="00A350E1">
        <w:rPr>
          <w:rStyle w:val="Bodytext26"/>
          <w:rFonts w:ascii="GHEA Grapalat" w:hAnsi="GHEA Grapalat"/>
          <w:sz w:val="24"/>
          <w:szCs w:val="24"/>
        </w:rPr>
        <w:t>աջակցության</w:t>
      </w:r>
      <w:r w:rsidR="002628E1"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արժանացող պ</w:t>
      </w:r>
      <w:r w:rsidRPr="00A350E1">
        <w:rPr>
          <w:rStyle w:val="Bodytext26"/>
          <w:rFonts w:ascii="GHEA Grapalat" w:hAnsi="GHEA Grapalat"/>
          <w:sz w:val="24"/>
          <w:szCs w:val="24"/>
        </w:rPr>
        <w:t>ետական</w:t>
      </w:r>
      <w:r w:rsidR="00617988">
        <w:rPr>
          <w:rStyle w:val="Bodytext26"/>
          <w:rFonts w:ascii="GHEA Grapalat" w:hAnsi="GHEA Grapalat"/>
          <w:sz w:val="24"/>
          <w:szCs w:val="24"/>
        </w:rPr>
        <w:t>-</w:t>
      </w:r>
      <w:r w:rsidRPr="00A350E1">
        <w:rPr>
          <w:rStyle w:val="Bodytext26"/>
          <w:rFonts w:ascii="GHEA Grapalat" w:hAnsi="GHEA Grapalat"/>
          <w:sz w:val="24"/>
          <w:szCs w:val="24"/>
        </w:rPr>
        <w:t>մասնավոր</w:t>
      </w:r>
      <w:r w:rsidR="00E142CE" w:rsidRPr="00A350E1">
        <w:rPr>
          <w:rStyle w:val="Bodytext26"/>
          <w:rFonts w:ascii="GHEA Grapalat" w:hAnsi="GHEA Grapalat"/>
          <w:sz w:val="24"/>
          <w:szCs w:val="24"/>
        </w:rPr>
        <w:t xml:space="preserve"> հատված</w:t>
      </w:r>
      <w:r w:rsidRPr="00A350E1">
        <w:rPr>
          <w:rStyle w:val="Bodytext26"/>
          <w:rFonts w:ascii="GHEA Grapalat" w:hAnsi="GHEA Grapalat"/>
          <w:sz w:val="24"/>
          <w:szCs w:val="24"/>
        </w:rPr>
        <w:t xml:space="preserve"> երկխոսության զարգացման ամբողջ գործընթաց</w:t>
      </w:r>
      <w:r w:rsidR="00E142CE" w:rsidRPr="00A350E1">
        <w:rPr>
          <w:rStyle w:val="Bodytext26"/>
          <w:rFonts w:ascii="GHEA Grapalat" w:hAnsi="GHEA Grapalat"/>
          <w:sz w:val="24"/>
          <w:szCs w:val="24"/>
        </w:rPr>
        <w:t>ը</w:t>
      </w:r>
      <w:r w:rsidRPr="00A350E1">
        <w:rPr>
          <w:rStyle w:val="Bodytext26"/>
          <w:rFonts w:ascii="GHEA Grapalat" w:hAnsi="GHEA Grapalat"/>
          <w:sz w:val="24"/>
          <w:szCs w:val="24"/>
        </w:rPr>
        <w:t xml:space="preserve"> (2014 թվականի տարեկան գործո</w:t>
      </w:r>
      <w:r w:rsidR="00E142CE" w:rsidRPr="00A350E1">
        <w:rPr>
          <w:rStyle w:val="Bodytext26"/>
          <w:rFonts w:ascii="GHEA Grapalat" w:hAnsi="GHEA Grapalat"/>
          <w:sz w:val="24"/>
          <w:szCs w:val="24"/>
        </w:rPr>
        <w:t>ղ</w:t>
      </w:r>
      <w:r w:rsidRPr="00A350E1">
        <w:rPr>
          <w:rStyle w:val="Bodytext26"/>
          <w:rFonts w:ascii="GHEA Grapalat" w:hAnsi="GHEA Grapalat"/>
          <w:sz w:val="24"/>
          <w:szCs w:val="24"/>
        </w:rPr>
        <w:t xml:space="preserve">ությունների ծրագիր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ելյան ներդրումներ 2)։</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353862" w:rsidRPr="00617988" w:rsidRDefault="001A58C9" w:rsidP="003F7011">
      <w:pPr>
        <w:pStyle w:val="Bodytext40"/>
        <w:shd w:val="clear" w:color="auto" w:fill="auto"/>
        <w:spacing w:after="160" w:line="360" w:lineRule="auto"/>
        <w:ind w:right="-1" w:firstLine="567"/>
        <w:jc w:val="left"/>
        <w:rPr>
          <w:rFonts w:ascii="GHEA Grapalat" w:hAnsi="GHEA Grapalat" w:cs="Sylfaen"/>
          <w:i w:val="0"/>
          <w:sz w:val="24"/>
          <w:szCs w:val="24"/>
        </w:rPr>
      </w:pPr>
      <w:r w:rsidRPr="00617988">
        <w:rPr>
          <w:rStyle w:val="Heading21"/>
          <w:rFonts w:ascii="GHEA Grapalat" w:hAnsi="GHEA Grapalat"/>
          <w:i w:val="0"/>
          <w:sz w:val="24"/>
          <w:szCs w:val="24"/>
        </w:rPr>
        <w:t>ՓՄՁ-ների համար բարելավել էկոհամակարգը</w:t>
      </w:r>
      <w:r w:rsidR="00353862" w:rsidRPr="00617988">
        <w:rPr>
          <w:rStyle w:val="Bodytext41"/>
          <w:rFonts w:ascii="GHEA Grapalat" w:hAnsi="GHEA Grapalat"/>
          <w:i/>
          <w:sz w:val="24"/>
          <w:szCs w:val="24"/>
        </w:rPr>
        <w:t xml:space="preserve"> </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ԵՄ-ն տարբեր ծրագրերի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ՎԶԵԲ</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ի կողմից իրականացվող </w:t>
      </w:r>
      <w:r w:rsidR="00520E4C" w:rsidRPr="00A350E1">
        <w:rPr>
          <w:rStyle w:val="Heading21"/>
          <w:rFonts w:ascii="GHEA Grapalat" w:hAnsi="GHEA Grapalat"/>
          <w:b w:val="0"/>
          <w:sz w:val="24"/>
          <w:szCs w:val="24"/>
        </w:rPr>
        <w:t>«</w:t>
      </w:r>
      <w:r w:rsidRPr="00A350E1">
        <w:rPr>
          <w:rStyle w:val="Bodytext26"/>
          <w:rFonts w:ascii="GHEA Grapalat" w:hAnsi="GHEA Grapalat"/>
          <w:sz w:val="24"/>
          <w:szCs w:val="24"/>
        </w:rPr>
        <w:t xml:space="preserve">ՓՄՁ ֆինանսավորման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խորհրդատվական ծրագրի</w:t>
      </w:r>
      <w:r w:rsidR="00520E4C" w:rsidRPr="00A350E1">
        <w:rPr>
          <w:rStyle w:val="Bodytext26"/>
          <w:rFonts w:ascii="GHEA Grapalat" w:hAnsi="GHEA Grapalat"/>
          <w:sz w:val="24"/>
          <w:szCs w:val="24"/>
        </w:rPr>
        <w:t>»</w:t>
      </w:r>
      <w:r w:rsidRPr="00A350E1">
        <w:rPr>
          <w:rStyle w:val="Bodytext26"/>
          <w:rFonts w:ascii="GHEA Grapalat" w:hAnsi="GHEA Grapalat"/>
          <w:sz w:val="24"/>
          <w:szCs w:val="24"/>
        </w:rPr>
        <w:t xml:space="preserve"> միջոցով աջակցություն է </w:t>
      </w:r>
      <w:r w:rsidRPr="00A350E1">
        <w:rPr>
          <w:rStyle w:val="Bodytext26"/>
          <w:rFonts w:ascii="GHEA Grapalat" w:hAnsi="GHEA Grapalat"/>
          <w:sz w:val="24"/>
          <w:szCs w:val="24"/>
        </w:rPr>
        <w:lastRenderedPageBreak/>
        <w:t>տրամադրել ՓՄՁ</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ներին։ Ի լրումն այս նախորդ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շարունակվող ջանքերին՝ այս «էկոհամակարգ» բաղադրիչը հիմնված կլինի ընտրված կարգավորող գործառույթների, ինստիտուցիոնալ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տրային պրակտիկայի վրա,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ուղղված կլինի բիզնես միջավայրի բարելավման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հավասար մրցակցային պայմաններ ապահովելու համար անհրաժեշտ իրավական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կարգավորիչ բարեփոխումներին։ Գործողությունների հիմնական ուղղվածությունները կարող</w:t>
      </w:r>
      <w:r w:rsidR="003F7011" w:rsidRPr="003F7011">
        <w:rPr>
          <w:rStyle w:val="Bodytext26"/>
          <w:rFonts w:ascii="Courier New" w:hAnsi="Courier New" w:cs="Courier New"/>
          <w:sz w:val="24"/>
          <w:szCs w:val="24"/>
        </w:rPr>
        <w:t> </w:t>
      </w:r>
      <w:r w:rsidRPr="00A350E1">
        <w:rPr>
          <w:rStyle w:val="Bodytext26"/>
          <w:rFonts w:ascii="GHEA Grapalat" w:hAnsi="GHEA Grapalat"/>
          <w:sz w:val="24"/>
          <w:szCs w:val="24"/>
        </w:rPr>
        <w:t>են ներառել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յալը՝ ա) Հայաստանի սնանկության համակարգի բարելավված կիրառում՝ հատուկ ուշադրություն դարձնելով լուծարման հետ կապված վերակազմակերպման աշխատանքների կատարմանը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գործարքը նախաձեռնելու փուլում հարակից առ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տրային պրակտիկային (օրինակ՝ ռիսկի գնահատում</w:t>
      </w:r>
      <w:r w:rsidR="005B64CD" w:rsidRPr="00A350E1">
        <w:rPr>
          <w:rStyle w:val="Bodytext26"/>
          <w:rFonts w:ascii="GHEA Grapalat" w:hAnsi="GHEA Grapalat"/>
          <w:sz w:val="24"/>
          <w:szCs w:val="24"/>
        </w:rPr>
        <w:t>՝</w:t>
      </w:r>
      <w:r w:rsidRPr="00A350E1">
        <w:rPr>
          <w:rStyle w:val="Bodytext26"/>
          <w:rFonts w:ascii="GHEA Grapalat" w:hAnsi="GHEA Grapalat"/>
          <w:sz w:val="24"/>
          <w:szCs w:val="24"/>
        </w:rPr>
        <w:t xml:space="preserve"> շարունակ</w:t>
      </w:r>
      <w:r w:rsidR="00E142CE" w:rsidRPr="00A350E1">
        <w:rPr>
          <w:rStyle w:val="Bodytext26"/>
          <w:rFonts w:ascii="GHEA Grapalat" w:hAnsi="GHEA Grapalat"/>
          <w:sz w:val="24"/>
          <w:szCs w:val="24"/>
        </w:rPr>
        <w:t>ակ</w:t>
      </w:r>
      <w:r w:rsidRPr="00A350E1">
        <w:rPr>
          <w:rStyle w:val="Bodytext26"/>
          <w:rFonts w:ascii="GHEA Grapalat" w:hAnsi="GHEA Grapalat"/>
          <w:sz w:val="24"/>
          <w:szCs w:val="24"/>
        </w:rPr>
        <w:t xml:space="preserve">ան հիմունքներով, </w:t>
      </w:r>
      <w:r w:rsidR="00E142CE" w:rsidRPr="00A350E1">
        <w:rPr>
          <w:rStyle w:val="Bodytext26"/>
          <w:rFonts w:ascii="GHEA Grapalat" w:hAnsi="GHEA Grapalat"/>
          <w:sz w:val="24"/>
          <w:szCs w:val="24"/>
        </w:rPr>
        <w:t>պարտատերերի միջ</w:t>
      </w:r>
      <w:r w:rsidR="00A350E1">
        <w:rPr>
          <w:rStyle w:val="Bodytext26"/>
          <w:rFonts w:ascii="GHEA Grapalat" w:hAnsi="GHEA Grapalat"/>
          <w:sz w:val="24"/>
          <w:szCs w:val="24"/>
        </w:rPr>
        <w:t>եւ</w:t>
      </w:r>
      <w:r w:rsidR="00E142CE" w:rsidRPr="00A350E1">
        <w:rPr>
          <w:rStyle w:val="Bodytext26"/>
          <w:rFonts w:ascii="GHEA Grapalat" w:hAnsi="GHEA Grapalat"/>
          <w:sz w:val="24"/>
          <w:szCs w:val="24"/>
        </w:rPr>
        <w:t xml:space="preserve"> գույքի գրավադրմամբ</w:t>
      </w:r>
      <w:r w:rsidRPr="00A350E1">
        <w:rPr>
          <w:rStyle w:val="Bodytext26"/>
          <w:rFonts w:ascii="GHEA Grapalat" w:hAnsi="GHEA Grapalat"/>
          <w:sz w:val="24"/>
          <w:szCs w:val="24"/>
        </w:rPr>
        <w:t xml:space="preserve"> համաձայնագրեր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այլն). բ) կորպորատիվ կառավարման ամրապնդում՝ հատուկ ուշադրություն դարձնելով բաժնետերերի իրավունքներին (ինչպես իրավական դաշտ, այնպես էլ կորպորատիվ պրակտիկա),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գ) հետագա աջակցություն </w:t>
      </w:r>
      <w:r w:rsidR="002E2DD1" w:rsidRPr="00A350E1">
        <w:rPr>
          <w:rStyle w:val="Bodytext26"/>
          <w:rFonts w:ascii="GHEA Grapalat" w:hAnsi="GHEA Grapalat"/>
          <w:sz w:val="24"/>
          <w:szCs w:val="24"/>
        </w:rPr>
        <w:t>մրցակցությա</w:t>
      </w:r>
      <w:r w:rsidR="00E142CE" w:rsidRPr="00A350E1">
        <w:rPr>
          <w:rStyle w:val="Bodytext26"/>
          <w:rFonts w:ascii="GHEA Grapalat" w:hAnsi="GHEA Grapalat"/>
          <w:sz w:val="24"/>
          <w:szCs w:val="24"/>
        </w:rPr>
        <w:t>ն պաշտպանության</w:t>
      </w:r>
      <w:r w:rsidR="00495BEE" w:rsidRPr="00A350E1">
        <w:rPr>
          <w:rStyle w:val="Bodytext26"/>
          <w:rFonts w:ascii="GHEA Grapalat" w:hAnsi="GHEA Grapalat"/>
          <w:sz w:val="24"/>
          <w:szCs w:val="24"/>
        </w:rPr>
        <w:t xml:space="preserve"> </w:t>
      </w:r>
      <w:r w:rsidRPr="00A350E1">
        <w:rPr>
          <w:rStyle w:val="Bodytext26"/>
          <w:rFonts w:ascii="GHEA Grapalat" w:hAnsi="GHEA Grapalat"/>
          <w:sz w:val="24"/>
          <w:szCs w:val="24"/>
        </w:rPr>
        <w:t>մարմիններին/մենաշնորհների դեմ պայքարին ուղղված ջանքերին, եթե Հայաստանի իշխանությունները հավասար մրցակցային պայմաններ ապահովելու հարցում ցուցաբերեն համապատասխան նվիրվածություն։</w:t>
      </w:r>
    </w:p>
    <w:p w:rsidR="008C567B" w:rsidRPr="003F7011" w:rsidRDefault="008C567B"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3F7011">
        <w:rPr>
          <w:rStyle w:val="Heading21"/>
          <w:rFonts w:ascii="GHEA Grapalat" w:hAnsi="GHEA Grapalat"/>
          <w:b/>
          <w:spacing w:val="-4"/>
          <w:sz w:val="24"/>
          <w:szCs w:val="24"/>
        </w:rPr>
        <w:t>Ռիսկերի գնահատման վրա հիմնված տեսչական բարեփոխման</w:t>
      </w:r>
      <w:r w:rsidRPr="00A350E1">
        <w:rPr>
          <w:rStyle w:val="Heading21"/>
          <w:rFonts w:ascii="GHEA Grapalat" w:hAnsi="GHEA Grapalat"/>
          <w:b/>
          <w:sz w:val="24"/>
          <w:szCs w:val="24"/>
        </w:rPr>
        <w:t xml:space="preserve"> ամփոփում</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Վերջին չորս տարիների ընթացքում ՀԲ-</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(ՄՖԿ)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ՎԶԵԲ-</w:t>
      </w:r>
      <w:r w:rsidR="005B64CD" w:rsidRPr="00A350E1">
        <w:rPr>
          <w:rStyle w:val="Bodytext26"/>
          <w:rFonts w:ascii="GHEA Grapalat" w:hAnsi="GHEA Grapalat"/>
          <w:sz w:val="24"/>
          <w:szCs w:val="24"/>
        </w:rPr>
        <w:t>ն</w:t>
      </w:r>
      <w:r w:rsidRPr="00A350E1">
        <w:rPr>
          <w:rStyle w:val="Bodytext26"/>
          <w:rFonts w:ascii="GHEA Grapalat" w:hAnsi="GHEA Grapalat"/>
          <w:sz w:val="24"/>
          <w:szCs w:val="24"/>
        </w:rPr>
        <w:t xml:space="preserve"> աջակցել են բարեփոխումների հարցում։ Թե</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գրանցվել է որոշակի առաջընթաց, սակայն դեռ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ս բարեփոխումներ կատարելու քաղաքական կամքը բացակայում է։ Տարբեր պետական մարմինների կողմից իրականացվող տեսչական ստուգումները համարվում են որպես կոռուպցիայի աղբյուր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բիզնեսի նկատմամբ ճնշումներ։ Եթե իշխանությունները պարտավորվեն </w:t>
      </w:r>
      <w:r w:rsidR="00E142CE" w:rsidRPr="00A350E1">
        <w:rPr>
          <w:rStyle w:val="Bodytext26"/>
          <w:rFonts w:ascii="GHEA Grapalat" w:hAnsi="GHEA Grapalat"/>
          <w:sz w:val="24"/>
          <w:szCs w:val="24"/>
        </w:rPr>
        <w:t>խելամիտ</w:t>
      </w:r>
      <w:r w:rsidR="00DA379E" w:rsidRPr="00A350E1">
        <w:rPr>
          <w:rStyle w:val="Bodytext26"/>
          <w:rFonts w:ascii="GHEA Grapalat" w:hAnsi="GHEA Grapalat"/>
          <w:sz w:val="24"/>
          <w:szCs w:val="24"/>
        </w:rPr>
        <w:t xml:space="preserve"> </w:t>
      </w:r>
      <w:r w:rsidRPr="00A350E1">
        <w:rPr>
          <w:rStyle w:val="Bodytext26"/>
          <w:rFonts w:ascii="GHEA Grapalat" w:hAnsi="GHEA Grapalat"/>
          <w:sz w:val="24"/>
          <w:szCs w:val="24"/>
        </w:rPr>
        <w:t>ժամկետներում ամփոփել բարեփոխումը</w:t>
      </w:r>
      <w:r w:rsidR="00E142CE" w:rsidRPr="00A350E1">
        <w:rPr>
          <w:rStyle w:val="Bodytext26"/>
          <w:rFonts w:ascii="GHEA Grapalat" w:hAnsi="GHEA Grapalat"/>
          <w:sz w:val="24"/>
          <w:szCs w:val="24"/>
        </w:rPr>
        <w:t xml:space="preserve"> </w:t>
      </w:r>
      <w:r w:rsidR="005D1BEA" w:rsidRPr="00A350E1">
        <w:rPr>
          <w:rStyle w:val="Bodytext26"/>
          <w:rFonts w:ascii="GHEA Grapalat" w:hAnsi="GHEA Grapalat"/>
          <w:sz w:val="24"/>
          <w:szCs w:val="24"/>
        </w:rPr>
        <w:t>(</w:t>
      </w:r>
      <w:r w:rsidR="00E142CE" w:rsidRPr="00A350E1">
        <w:rPr>
          <w:rStyle w:val="Bodytext26"/>
          <w:rFonts w:ascii="GHEA Grapalat" w:hAnsi="GHEA Grapalat"/>
          <w:sz w:val="24"/>
          <w:szCs w:val="24"/>
        </w:rPr>
        <w:t>ենթադրենք՝ 24 ամսում</w:t>
      </w:r>
      <w:r w:rsidR="005D1BEA" w:rsidRPr="00A350E1">
        <w:rPr>
          <w:rStyle w:val="Bodytext26"/>
          <w:rFonts w:ascii="GHEA Grapalat" w:hAnsi="GHEA Grapalat"/>
          <w:sz w:val="24"/>
          <w:szCs w:val="24"/>
        </w:rPr>
        <w:t>)</w:t>
      </w:r>
      <w:r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 xml:space="preserve">ապա </w:t>
      </w:r>
      <w:r w:rsidRPr="00A350E1">
        <w:rPr>
          <w:rStyle w:val="Bodytext26"/>
          <w:rFonts w:ascii="GHEA Grapalat" w:hAnsi="GHEA Grapalat"/>
          <w:sz w:val="24"/>
          <w:szCs w:val="24"/>
        </w:rPr>
        <w:t xml:space="preserve">կարող են անհրաժեշտ լինել </w:t>
      </w:r>
      <w:r w:rsidRPr="00333214">
        <w:rPr>
          <w:rStyle w:val="Bodytext26"/>
          <w:rFonts w:ascii="GHEA Grapalat" w:hAnsi="GHEA Grapalat"/>
          <w:spacing w:val="-6"/>
          <w:sz w:val="24"/>
          <w:szCs w:val="24"/>
        </w:rPr>
        <w:t>ռեսուրսներ՝ ա) մինչ այ</w:t>
      </w:r>
      <w:r w:rsidR="00333214" w:rsidRPr="00333214">
        <w:rPr>
          <w:rStyle w:val="Bodytext26"/>
          <w:rFonts w:ascii="GHEA Grapalat" w:hAnsi="GHEA Grapalat"/>
          <w:spacing w:val="-6"/>
          <w:sz w:val="24"/>
          <w:szCs w:val="24"/>
        </w:rPr>
        <w:t>ս</w:t>
      </w:r>
      <w:r w:rsidRPr="00333214">
        <w:rPr>
          <w:rStyle w:val="Bodytext26"/>
          <w:rFonts w:ascii="GHEA Grapalat" w:hAnsi="GHEA Grapalat"/>
          <w:spacing w:val="-6"/>
          <w:sz w:val="24"/>
          <w:szCs w:val="24"/>
        </w:rPr>
        <w:t>օր ձեռք բերված փորձի հիման վրա որոշակի</w:t>
      </w:r>
      <w:r w:rsidRPr="00A350E1">
        <w:rPr>
          <w:rStyle w:val="Bodytext26"/>
          <w:rFonts w:ascii="GHEA Grapalat" w:hAnsi="GHEA Grapalat"/>
          <w:sz w:val="24"/>
          <w:szCs w:val="24"/>
        </w:rPr>
        <w:t xml:space="preserve"> ճշգրտումներ </w:t>
      </w:r>
      <w:r w:rsidRPr="00A350E1">
        <w:rPr>
          <w:rStyle w:val="Bodytext26"/>
          <w:rFonts w:ascii="GHEA Grapalat" w:hAnsi="GHEA Grapalat"/>
          <w:sz w:val="24"/>
          <w:szCs w:val="24"/>
        </w:rPr>
        <w:lastRenderedPageBreak/>
        <w:t xml:space="preserve">կատարելու հնարավորությունն ուսումնասիրելու,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ապա</w:t>
      </w:r>
      <w:r w:rsidR="00C201D5"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բ) համաձայնեցված ինստիտուցիոնալ փոփոխությունները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դրանց կատարումն ամբողջությամբ իրականացնելու համար. սա կարող է ներառել պետական</w:t>
      </w:r>
      <w:r w:rsidR="00617988">
        <w:rPr>
          <w:rStyle w:val="Bodytext26"/>
          <w:rFonts w:ascii="GHEA Grapalat" w:hAnsi="GHEA Grapalat"/>
          <w:sz w:val="24"/>
          <w:szCs w:val="24"/>
        </w:rPr>
        <w:t>-</w:t>
      </w:r>
      <w:r w:rsidRPr="00A350E1">
        <w:rPr>
          <w:rStyle w:val="Bodytext26"/>
          <w:rFonts w:ascii="GHEA Grapalat" w:hAnsi="GHEA Grapalat"/>
          <w:sz w:val="24"/>
          <w:szCs w:val="24"/>
        </w:rPr>
        <w:t>մասնավոր</w:t>
      </w:r>
      <w:r w:rsidR="00E142CE" w:rsidRPr="00A350E1">
        <w:rPr>
          <w:rStyle w:val="Bodytext26"/>
          <w:rFonts w:ascii="GHEA Grapalat" w:hAnsi="GHEA Grapalat"/>
          <w:sz w:val="24"/>
          <w:szCs w:val="24"/>
        </w:rPr>
        <w:t xml:space="preserve"> հատված</w:t>
      </w:r>
      <w:r w:rsidRPr="00A350E1">
        <w:rPr>
          <w:rStyle w:val="Bodytext26"/>
          <w:rFonts w:ascii="GHEA Grapalat" w:hAnsi="GHEA Grapalat"/>
          <w:sz w:val="24"/>
          <w:szCs w:val="24"/>
        </w:rPr>
        <w:t xml:space="preserve"> երկխոսության թափանցիկ գործընթացի ստեղծում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դրա հետ կապված քարտուղար</w:t>
      </w:r>
      <w:r w:rsidR="00E142CE" w:rsidRPr="00A350E1">
        <w:rPr>
          <w:rStyle w:val="Bodytext26"/>
          <w:rFonts w:ascii="GHEA Grapalat" w:hAnsi="GHEA Grapalat"/>
          <w:sz w:val="24"/>
          <w:szCs w:val="24"/>
        </w:rPr>
        <w:t>ության</w:t>
      </w:r>
      <w:r w:rsidRPr="00A350E1">
        <w:rPr>
          <w:rStyle w:val="Bodytext26"/>
          <w:rFonts w:ascii="GHEA Grapalat" w:hAnsi="GHEA Grapalat"/>
          <w:sz w:val="24"/>
          <w:szCs w:val="24"/>
        </w:rPr>
        <w:t xml:space="preserve"> ծառայությունների մատուցում,</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վերլուծական աջակցություն՝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տեսչական բեռի կրճատման օգուտը </w:t>
      </w:r>
      <w:r w:rsidR="00E142CE" w:rsidRPr="00A350E1">
        <w:rPr>
          <w:rStyle w:val="Bodytext26"/>
          <w:rFonts w:ascii="GHEA Grapalat" w:hAnsi="GHEA Grapalat"/>
          <w:sz w:val="24"/>
          <w:szCs w:val="24"/>
        </w:rPr>
        <w:t>սահմանելու</w:t>
      </w:r>
      <w:r w:rsidR="00C9014B"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նպ</w:t>
      </w:r>
      <w:r w:rsidR="005B64CD" w:rsidRPr="00A350E1">
        <w:rPr>
          <w:rStyle w:val="Bodytext26"/>
          <w:rFonts w:ascii="GHEA Grapalat" w:hAnsi="GHEA Grapalat"/>
          <w:sz w:val="24"/>
          <w:szCs w:val="24"/>
        </w:rPr>
        <w:t>ա</w:t>
      </w:r>
      <w:r w:rsidR="00E142CE" w:rsidRPr="00A350E1">
        <w:rPr>
          <w:rStyle w:val="Bodytext26"/>
          <w:rFonts w:ascii="GHEA Grapalat" w:hAnsi="GHEA Grapalat"/>
          <w:sz w:val="24"/>
          <w:szCs w:val="24"/>
        </w:rPr>
        <w:t>տակով</w:t>
      </w:r>
      <w:r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w:t>
      </w:r>
      <w:r w:rsidR="0072588A" w:rsidRPr="00A350E1">
        <w:rPr>
          <w:rStyle w:val="Heading21"/>
          <w:rFonts w:ascii="GHEA Grapalat" w:hAnsi="GHEA Grapalat"/>
          <w:b w:val="0"/>
          <w:sz w:val="24"/>
          <w:szCs w:val="24"/>
        </w:rPr>
        <w:t>«</w:t>
      </w:r>
      <w:r w:rsidRPr="00A350E1">
        <w:rPr>
          <w:rStyle w:val="Bodytext26"/>
          <w:rFonts w:ascii="GHEA Grapalat" w:hAnsi="GHEA Grapalat"/>
          <w:sz w:val="24"/>
          <w:szCs w:val="24"/>
        </w:rPr>
        <w:t>ՄՖԿ ներդրումային միջավայրի հետ կապված խորհրդատվական ծառայությունների մատուցման ծրագրի</w:t>
      </w:r>
      <w:r w:rsidR="0072588A" w:rsidRPr="00A350E1">
        <w:rPr>
          <w:rStyle w:val="Bodytext26"/>
          <w:rFonts w:ascii="GHEA Grapalat" w:hAnsi="GHEA Grapalat"/>
          <w:sz w:val="24"/>
          <w:szCs w:val="24"/>
        </w:rPr>
        <w:t>»</w:t>
      </w:r>
      <w:r w:rsidRPr="00A350E1">
        <w:rPr>
          <w:rStyle w:val="Bodytext26"/>
          <w:rFonts w:ascii="GHEA Grapalat" w:hAnsi="GHEA Grapalat"/>
          <w:sz w:val="24"/>
          <w:szCs w:val="24"/>
        </w:rPr>
        <w:t xml:space="preserve"> II փուլի հետ</w:t>
      </w:r>
      <w:r w:rsidR="0072588A"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կապված համակցված ջանքերի</w:t>
      </w:r>
      <w:r w:rsidR="003213B3"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իր</w:t>
      </w:r>
      <w:r w:rsidRPr="00A350E1">
        <w:rPr>
          <w:rStyle w:val="Bodytext26"/>
          <w:rFonts w:ascii="GHEA Grapalat" w:hAnsi="GHEA Grapalat"/>
          <w:sz w:val="24"/>
          <w:szCs w:val="24"/>
        </w:rPr>
        <w:t>ագործում։ Այդ բարեփոխումների շրջանում պետք է դիտարկվի պետական</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մասնավոր </w:t>
      </w:r>
      <w:r w:rsidR="00E142CE" w:rsidRPr="00A350E1">
        <w:rPr>
          <w:rStyle w:val="Bodytext26"/>
          <w:rFonts w:ascii="GHEA Grapalat" w:hAnsi="GHEA Grapalat"/>
          <w:sz w:val="24"/>
          <w:szCs w:val="24"/>
        </w:rPr>
        <w:t xml:space="preserve">հատված </w:t>
      </w:r>
      <w:r w:rsidRPr="00A350E1">
        <w:rPr>
          <w:rStyle w:val="Bodytext26"/>
          <w:rFonts w:ascii="GHEA Grapalat" w:hAnsi="GHEA Grapalat"/>
          <w:sz w:val="24"/>
          <w:szCs w:val="24"/>
        </w:rPr>
        <w:t xml:space="preserve">ավելի լայն երկխոսության հարցը,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այդ բարեփոխումներին ԵՄ</w:t>
      </w:r>
      <w:r w:rsidR="00617988">
        <w:rPr>
          <w:rStyle w:val="Bodytext26"/>
          <w:rFonts w:ascii="GHEA Grapalat" w:hAnsi="GHEA Grapalat"/>
          <w:sz w:val="24"/>
          <w:szCs w:val="24"/>
        </w:rPr>
        <w:t>-</w:t>
      </w:r>
      <w:r w:rsidRPr="00A350E1">
        <w:rPr>
          <w:rStyle w:val="Bodytext26"/>
          <w:rFonts w:ascii="GHEA Grapalat" w:hAnsi="GHEA Grapalat"/>
          <w:sz w:val="24"/>
          <w:szCs w:val="24"/>
        </w:rPr>
        <w:t>ի ներգրավումը կարող է փոփոխություններ կատարելու համար ավելի մեծ քաղաքական պատրաստակամություն առաջացնել։</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Default="001A58C9" w:rsidP="003F7011">
      <w:pPr>
        <w:pStyle w:val="Bodytext50"/>
        <w:shd w:val="clear" w:color="auto" w:fill="auto"/>
        <w:tabs>
          <w:tab w:val="left" w:pos="1134"/>
        </w:tabs>
        <w:spacing w:before="0" w:after="160" w:line="360" w:lineRule="auto"/>
        <w:ind w:right="-1" w:firstLine="567"/>
        <w:jc w:val="left"/>
        <w:rPr>
          <w:rStyle w:val="Bodytext51"/>
          <w:rFonts w:ascii="GHEA Grapalat" w:hAnsi="GHEA Grapalat"/>
          <w:b/>
          <w:sz w:val="24"/>
          <w:szCs w:val="24"/>
        </w:rPr>
      </w:pPr>
      <w:r w:rsidRPr="00A350E1">
        <w:rPr>
          <w:rStyle w:val="Bodytext51"/>
          <w:rFonts w:ascii="GHEA Grapalat" w:hAnsi="GHEA Grapalat"/>
          <w:b/>
          <w:sz w:val="24"/>
          <w:szCs w:val="24"/>
        </w:rPr>
        <w:t>Բաղադրիչ 3.</w:t>
      </w:r>
      <w:r w:rsidR="00617988">
        <w:rPr>
          <w:rStyle w:val="Bodytext51"/>
          <w:rFonts w:ascii="GHEA Grapalat" w:hAnsi="GHEA Grapalat"/>
          <w:b/>
          <w:sz w:val="24"/>
          <w:szCs w:val="24"/>
        </w:rPr>
        <w:tab/>
      </w:r>
      <w:r w:rsidRPr="00A350E1">
        <w:rPr>
          <w:rStyle w:val="Bodytext51"/>
          <w:rFonts w:ascii="GHEA Grapalat" w:hAnsi="GHEA Grapalat"/>
          <w:b/>
          <w:sz w:val="24"/>
          <w:szCs w:val="24"/>
        </w:rPr>
        <w:t>Առ</w:t>
      </w:r>
      <w:r w:rsidR="001118B9" w:rsidRPr="00A350E1">
        <w:rPr>
          <w:rStyle w:val="Bodytext51"/>
          <w:rFonts w:ascii="GHEA Grapalat" w:hAnsi="GHEA Grapalat"/>
          <w:b/>
          <w:sz w:val="24"/>
          <w:szCs w:val="24"/>
        </w:rPr>
        <w:t>եւ</w:t>
      </w:r>
      <w:r w:rsidRPr="00A350E1">
        <w:rPr>
          <w:rStyle w:val="Bodytext51"/>
          <w:rFonts w:ascii="GHEA Grapalat" w:hAnsi="GHEA Grapalat"/>
          <w:b/>
          <w:sz w:val="24"/>
          <w:szCs w:val="24"/>
        </w:rPr>
        <w:t xml:space="preserve">տրի </w:t>
      </w:r>
      <w:r w:rsidR="001118B9" w:rsidRPr="00A350E1">
        <w:rPr>
          <w:rStyle w:val="Bodytext51"/>
          <w:rFonts w:ascii="GHEA Grapalat" w:hAnsi="GHEA Grapalat"/>
          <w:b/>
          <w:sz w:val="24"/>
          <w:szCs w:val="24"/>
        </w:rPr>
        <w:t>եւ</w:t>
      </w:r>
      <w:r w:rsidRPr="00A350E1">
        <w:rPr>
          <w:rStyle w:val="Bodytext51"/>
          <w:rFonts w:ascii="GHEA Grapalat" w:hAnsi="GHEA Grapalat"/>
          <w:b/>
          <w:sz w:val="24"/>
          <w:szCs w:val="24"/>
        </w:rPr>
        <w:t xml:space="preserve"> շուկայի հնարավորություններ/մատչելիություն</w:t>
      </w:r>
    </w:p>
    <w:p w:rsidR="00617988" w:rsidRPr="00A350E1" w:rsidRDefault="00617988" w:rsidP="00617988">
      <w:pPr>
        <w:pStyle w:val="Bodytext50"/>
        <w:shd w:val="clear" w:color="auto" w:fill="auto"/>
        <w:spacing w:before="0" w:after="160" w:line="360" w:lineRule="auto"/>
        <w:ind w:right="-1" w:firstLine="567"/>
        <w:rPr>
          <w:rFonts w:ascii="GHEA Grapalat" w:hAnsi="GHEA Grapalat" w:cs="Sylfaen"/>
          <w:sz w:val="24"/>
          <w:szCs w:val="24"/>
        </w:rPr>
      </w:pP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Մտավոր սեփականության իրավունք</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ԵՄ-</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նախկինում աջակցել է Հայաստանի մտավոր սեփականության գործակալությանը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նույնիսկ իրականացրել է Հայաստանում Աշխարհագրական նշումների (ԱՆ) համակարգի գնահատում՝ հաշվի առնելով ԽՀԱԱԳ իրականացումը։ Համապարփակ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ընդլայնված շրջանակային համաձայնագրի ստորագրմամբ ԵՄ</w:t>
      </w:r>
      <w:r w:rsidR="00617988">
        <w:rPr>
          <w:rStyle w:val="Bodytext26"/>
          <w:rFonts w:ascii="GHEA Grapalat" w:hAnsi="GHEA Grapalat"/>
          <w:sz w:val="24"/>
          <w:szCs w:val="24"/>
        </w:rPr>
        <w:t>-</w:t>
      </w:r>
      <w:r w:rsidR="005B64CD" w:rsidRPr="00A350E1">
        <w:rPr>
          <w:rStyle w:val="Bodytext26"/>
          <w:rFonts w:ascii="GHEA Grapalat" w:hAnsi="GHEA Grapalat"/>
          <w:sz w:val="24"/>
          <w:szCs w:val="24"/>
        </w:rPr>
        <w:t>ն</w:t>
      </w:r>
      <w:r w:rsidRPr="00A350E1">
        <w:rPr>
          <w:rStyle w:val="Bodytext26"/>
          <w:rFonts w:ascii="GHEA Grapalat" w:hAnsi="GHEA Grapalat"/>
          <w:sz w:val="24"/>
          <w:szCs w:val="24"/>
        </w:rPr>
        <w:t xml:space="preserve"> պարտավորվել է աջակցել Հայաստանի իշխանություններին Հայաստանում ԵՄ ԱՆ-ի պաշտպանությանն առնչվող դրույթների իրականացման հարցում։ Միջոցառումները հիմնականում վերաբերում են հայաստանյան տարբեր ընկերությունների կողմից ԱՆ-ի օգտագործումն աստիճանաբար դադարեցնելուն ուղղված գործողությունների ծրագրի իրականացմանը։</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Միջոցառումների իրականացման համար կարող են դիտարկվել հատուկ ՏԱ կամ թվինինգ ծրագր</w:t>
      </w:r>
      <w:r w:rsidR="00E142CE" w:rsidRPr="00A350E1">
        <w:rPr>
          <w:rStyle w:val="Bodytext26"/>
          <w:rFonts w:ascii="GHEA Grapalat" w:hAnsi="GHEA Grapalat"/>
          <w:sz w:val="24"/>
          <w:szCs w:val="24"/>
        </w:rPr>
        <w:t>եր</w:t>
      </w:r>
      <w:r w:rsidRPr="00A350E1">
        <w:rPr>
          <w:rStyle w:val="Bodytext26"/>
          <w:rFonts w:ascii="GHEA Grapalat" w:hAnsi="GHEA Grapalat"/>
          <w:sz w:val="24"/>
          <w:szCs w:val="24"/>
        </w:rPr>
        <w:t>։</w:t>
      </w: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lastRenderedPageBreak/>
        <w:t>Մաքսային ոլորտ</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ԵՄ</w:t>
      </w:r>
      <w:r w:rsidR="00617988">
        <w:rPr>
          <w:rStyle w:val="Bodytext26"/>
          <w:rFonts w:ascii="GHEA Grapalat" w:hAnsi="GHEA Grapalat"/>
          <w:sz w:val="24"/>
          <w:szCs w:val="24"/>
        </w:rPr>
        <w:t>-</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նախկինում թվինինգ ծրագրերի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բյուջետային աջակցության միջոցով</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զգալի աջակցություն է տրամադրել մաքսային ոլորտում իրականացվող բարեփոխումների համար</w:t>
      </w:r>
      <w:r w:rsidR="00E142CE" w:rsidRPr="00A350E1">
        <w:rPr>
          <w:rStyle w:val="Bodytext26"/>
          <w:rFonts w:ascii="GHEA Grapalat" w:hAnsi="GHEA Grapalat"/>
          <w:sz w:val="24"/>
          <w:szCs w:val="24"/>
        </w:rPr>
        <w:t>:</w:t>
      </w:r>
      <w:r w:rsidRPr="00A350E1">
        <w:rPr>
          <w:rStyle w:val="Bodytext26"/>
          <w:rFonts w:ascii="GHEA Grapalat" w:hAnsi="GHEA Grapalat"/>
          <w:sz w:val="24"/>
          <w:szCs w:val="24"/>
        </w:rPr>
        <w:t xml:space="preserve"> Հայաստանի՝ Եվրասիական տնտեսական միությանը (ԵՏՄ) միանալու հետ կապված</w:t>
      </w:r>
      <w:r w:rsidR="005B64CD" w:rsidRPr="00A350E1">
        <w:rPr>
          <w:rStyle w:val="Bodytext26"/>
          <w:rFonts w:ascii="GHEA Grapalat" w:hAnsi="GHEA Grapalat"/>
          <w:sz w:val="24"/>
          <w:szCs w:val="24"/>
        </w:rPr>
        <w:t>՝</w:t>
      </w:r>
      <w:r w:rsidRPr="00A350E1">
        <w:rPr>
          <w:rStyle w:val="Bodytext26"/>
          <w:rFonts w:ascii="GHEA Grapalat" w:hAnsi="GHEA Grapalat"/>
          <w:sz w:val="24"/>
          <w:szCs w:val="24"/>
        </w:rPr>
        <w:t xml:space="preserve"> վերջին երեք տարիների ընթացքում ԵՄ աջակցությունն ուղղված է եղել մաքսային/սահմանային մեկ պատուհան ստեղծելուն։ ԵՄ-</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մաքսային ոլորտի բարեփոխումներին մոտեցել է երկու տարբեր տեսանկյունից՝ էլեկտրոնային կառավարում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պետական</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մասնավոր </w:t>
      </w:r>
      <w:r w:rsidR="00E142CE" w:rsidRPr="00A350E1">
        <w:rPr>
          <w:rStyle w:val="Bodytext26"/>
          <w:rFonts w:ascii="GHEA Grapalat" w:hAnsi="GHEA Grapalat"/>
          <w:sz w:val="24"/>
          <w:szCs w:val="24"/>
        </w:rPr>
        <w:t xml:space="preserve">հատված </w:t>
      </w:r>
      <w:r w:rsidRPr="00A350E1">
        <w:rPr>
          <w:rStyle w:val="Bodytext26"/>
          <w:rFonts w:ascii="GHEA Grapalat" w:hAnsi="GHEA Grapalat"/>
          <w:sz w:val="24"/>
          <w:szCs w:val="24"/>
        </w:rPr>
        <w:t>երկխոսություն։ Դեռ</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ս </w:t>
      </w:r>
      <w:r w:rsidR="00E142CE" w:rsidRPr="00A350E1">
        <w:rPr>
          <w:rStyle w:val="Bodytext26"/>
          <w:rFonts w:ascii="GHEA Grapalat" w:hAnsi="GHEA Grapalat"/>
          <w:sz w:val="24"/>
          <w:szCs w:val="24"/>
        </w:rPr>
        <w:t xml:space="preserve">զգացվում է </w:t>
      </w:r>
      <w:r w:rsidR="007D7FF3" w:rsidRPr="00A350E1">
        <w:rPr>
          <w:rStyle w:val="Bodytext26"/>
          <w:rFonts w:ascii="GHEA Grapalat" w:hAnsi="GHEA Grapalat"/>
          <w:sz w:val="24"/>
          <w:szCs w:val="24"/>
        </w:rPr>
        <w:t>առանցքային բարեփոխումներ</w:t>
      </w:r>
      <w:r w:rsidR="00E142CE" w:rsidRPr="00A350E1">
        <w:rPr>
          <w:rStyle w:val="Bodytext26"/>
          <w:rFonts w:ascii="GHEA Grapalat" w:hAnsi="GHEA Grapalat"/>
          <w:sz w:val="24"/>
          <w:szCs w:val="24"/>
        </w:rPr>
        <w:t xml:space="preserve"> անելու</w:t>
      </w:r>
      <w:r w:rsidR="007D7FF3" w:rsidRPr="00A350E1">
        <w:rPr>
          <w:rStyle w:val="Bodytext26"/>
          <w:rFonts w:ascii="GHEA Grapalat" w:hAnsi="GHEA Grapalat"/>
          <w:sz w:val="24"/>
          <w:szCs w:val="24"/>
        </w:rPr>
        <w:t xml:space="preserve">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կատարման ենթա</w:t>
      </w:r>
      <w:r w:rsidR="00E142CE" w:rsidRPr="00A350E1">
        <w:rPr>
          <w:rStyle w:val="Bodytext26"/>
          <w:rFonts w:ascii="GHEA Grapalat" w:hAnsi="GHEA Grapalat"/>
          <w:sz w:val="24"/>
          <w:szCs w:val="24"/>
        </w:rPr>
        <w:t>կա</w:t>
      </w:r>
      <w:r w:rsidRPr="00A350E1">
        <w:rPr>
          <w:rStyle w:val="Bodytext26"/>
          <w:rFonts w:ascii="GHEA Grapalat" w:hAnsi="GHEA Grapalat"/>
          <w:sz w:val="24"/>
          <w:szCs w:val="24"/>
        </w:rPr>
        <w:t xml:space="preserve"> ընթացակարգեր</w:t>
      </w:r>
      <w:r w:rsidR="00E142CE" w:rsidRPr="00A350E1">
        <w:rPr>
          <w:rStyle w:val="Bodytext26"/>
          <w:rFonts w:ascii="GHEA Grapalat" w:hAnsi="GHEA Grapalat"/>
          <w:sz w:val="24"/>
          <w:szCs w:val="24"/>
        </w:rPr>
        <w:t>ի</w:t>
      </w:r>
      <w:r w:rsidR="00477C2E" w:rsidRPr="00A350E1">
        <w:rPr>
          <w:rStyle w:val="Bodytext26"/>
          <w:rFonts w:ascii="GHEA Grapalat" w:hAnsi="GHEA Grapalat"/>
          <w:sz w:val="24"/>
          <w:szCs w:val="24"/>
        </w:rPr>
        <w:t xml:space="preserve"> անհրաժեշտություն</w:t>
      </w:r>
      <w:r w:rsidRPr="00A350E1">
        <w:rPr>
          <w:rStyle w:val="Bodytext26"/>
          <w:rFonts w:ascii="GHEA Grapalat" w:hAnsi="GHEA Grapalat"/>
          <w:sz w:val="24"/>
          <w:szCs w:val="24"/>
        </w:rPr>
        <w:t xml:space="preserve">։ Մաքսային </w:t>
      </w:r>
      <w:r w:rsidR="00E142CE" w:rsidRPr="00A350E1">
        <w:rPr>
          <w:rStyle w:val="Bodytext26"/>
          <w:rFonts w:ascii="GHEA Grapalat" w:hAnsi="GHEA Grapalat"/>
          <w:sz w:val="24"/>
          <w:szCs w:val="24"/>
        </w:rPr>
        <w:t>ոլորտը</w:t>
      </w:r>
      <w:r w:rsidR="00D77C14"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համարվում է երկրում բիզնեսի զարգացման </w:t>
      </w:r>
      <w:r w:rsidR="00496EF5" w:rsidRPr="00A350E1">
        <w:rPr>
          <w:rStyle w:val="Bodytext26"/>
          <w:rFonts w:ascii="GHEA Grapalat" w:hAnsi="GHEA Grapalat"/>
          <w:sz w:val="24"/>
          <w:szCs w:val="24"/>
        </w:rPr>
        <w:t>հիմնական խոչընդոտը</w:t>
      </w:r>
      <w:r w:rsidRPr="00A350E1">
        <w:rPr>
          <w:rStyle w:val="Bodytext26"/>
          <w:rFonts w:ascii="GHEA Grapalat" w:hAnsi="GHEA Grapalat"/>
          <w:sz w:val="24"/>
          <w:szCs w:val="24"/>
        </w:rPr>
        <w:t xml:space="preserve">։ </w:t>
      </w:r>
      <w:r w:rsidRPr="003F7011">
        <w:rPr>
          <w:rStyle w:val="Bodytext26"/>
          <w:rFonts w:ascii="GHEA Grapalat" w:hAnsi="GHEA Grapalat"/>
          <w:spacing w:val="-4"/>
          <w:sz w:val="24"/>
          <w:szCs w:val="24"/>
        </w:rPr>
        <w:t xml:space="preserve">Միջոցառումները պետք է կապված լինել տեսչական բարեփոխումների </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 էլեկտրոնային կառավարման վրա հիմնված ընթացակարգերի մշակման, ինչպես նա</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 xml:space="preserve"> «Առ</w:t>
      </w:r>
      <w:r w:rsidR="001118B9" w:rsidRPr="003F7011">
        <w:rPr>
          <w:rStyle w:val="Bodytext26"/>
          <w:rFonts w:ascii="GHEA Grapalat" w:hAnsi="GHEA Grapalat"/>
          <w:spacing w:val="-4"/>
          <w:sz w:val="24"/>
          <w:szCs w:val="24"/>
        </w:rPr>
        <w:t>եւ</w:t>
      </w:r>
      <w:r w:rsidRPr="003F7011">
        <w:rPr>
          <w:rStyle w:val="Bodytext26"/>
          <w:rFonts w:ascii="GHEA Grapalat" w:hAnsi="GHEA Grapalat"/>
          <w:spacing w:val="-4"/>
          <w:sz w:val="24"/>
          <w:szCs w:val="24"/>
        </w:rPr>
        <w:t>տրի դյուրացման մասին» համաձայնագրի (ԱԴՀ) վերաբերյալ</w:t>
      </w:r>
      <w:r w:rsidRPr="00A350E1">
        <w:rPr>
          <w:rStyle w:val="Bodytext26"/>
          <w:rFonts w:ascii="GHEA Grapalat" w:hAnsi="GHEA Grapalat"/>
          <w:sz w:val="24"/>
          <w:szCs w:val="24"/>
        </w:rPr>
        <w:t>՝ ԱՀԿ 8-րդ նախարարական համաժողովի իրականացման հետ։</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Միջոցառումների իրականացման համար կարող են դիտարկվել հատուկ ՏԱ կամ թվինինգ ծրագր</w:t>
      </w:r>
      <w:r w:rsidR="00E142CE" w:rsidRPr="00A350E1">
        <w:rPr>
          <w:rStyle w:val="Bodytext26"/>
          <w:rFonts w:ascii="GHEA Grapalat" w:hAnsi="GHEA Grapalat"/>
          <w:sz w:val="24"/>
          <w:szCs w:val="24"/>
        </w:rPr>
        <w:t>եր</w:t>
      </w:r>
      <w:r w:rsidRPr="00A350E1">
        <w:rPr>
          <w:rStyle w:val="Bodytext26"/>
          <w:rFonts w:ascii="GHEA Grapalat" w:hAnsi="GHEA Grapalat"/>
          <w:sz w:val="24"/>
          <w:szCs w:val="24"/>
        </w:rPr>
        <w:t>։</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F7011">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 xml:space="preserve">Որակի ենթակառուցվածք (ՈԵ) </w:t>
      </w:r>
      <w:r w:rsidR="001118B9" w:rsidRPr="00A350E1">
        <w:rPr>
          <w:rStyle w:val="Heading21"/>
          <w:rFonts w:ascii="GHEA Grapalat" w:hAnsi="GHEA Grapalat"/>
          <w:b/>
          <w:sz w:val="24"/>
          <w:szCs w:val="24"/>
        </w:rPr>
        <w:t>եւ</w:t>
      </w:r>
      <w:r w:rsidRPr="00A350E1">
        <w:rPr>
          <w:rStyle w:val="Heading21"/>
          <w:rFonts w:ascii="GHEA Grapalat" w:hAnsi="GHEA Grapalat"/>
          <w:b/>
          <w:sz w:val="24"/>
          <w:szCs w:val="24"/>
        </w:rPr>
        <w:t xml:space="preserve"> համակարգ</w:t>
      </w:r>
    </w:p>
    <w:p w:rsidR="00C15D0A" w:rsidRDefault="00CC749E"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 xml:space="preserve">2013 թվականին </w:t>
      </w:r>
      <w:r w:rsidR="001A58C9" w:rsidRPr="00A350E1">
        <w:rPr>
          <w:rStyle w:val="Bodytext26"/>
          <w:rFonts w:ascii="GHEA Grapalat" w:hAnsi="GHEA Grapalat"/>
          <w:sz w:val="24"/>
          <w:szCs w:val="24"/>
        </w:rPr>
        <w:t>Հայաստանի</w:t>
      </w:r>
      <w:r w:rsidR="00E142CE" w:rsidRPr="00A350E1">
        <w:rPr>
          <w:rStyle w:val="Bodytext26"/>
          <w:rFonts w:ascii="GHEA Grapalat" w:hAnsi="GHEA Grapalat"/>
          <w:sz w:val="24"/>
          <w:szCs w:val="24"/>
        </w:rPr>
        <w:t xml:space="preserve"> կողմից</w:t>
      </w:r>
      <w:r w:rsidR="001A58C9" w:rsidRPr="00A350E1">
        <w:rPr>
          <w:rStyle w:val="Bodytext26"/>
          <w:rFonts w:ascii="GHEA Grapalat" w:hAnsi="GHEA Grapalat"/>
          <w:sz w:val="24"/>
          <w:szCs w:val="24"/>
        </w:rPr>
        <w:t xml:space="preserve"> Եվրասիական տնտեսական միությանը (ԵՏՄ) միանալու որոշումը կայացնելուց հետո ԵՄ-ն դադարել է աջակցել ոլորտին։ Վերջին երեք տարվա ընթացքում ՀԲ-</w:t>
      </w:r>
      <w:r w:rsidR="00E142CE" w:rsidRPr="00A350E1">
        <w:rPr>
          <w:rStyle w:val="Bodytext26"/>
          <w:rFonts w:ascii="GHEA Grapalat" w:hAnsi="GHEA Grapalat"/>
          <w:sz w:val="24"/>
          <w:szCs w:val="24"/>
        </w:rPr>
        <w:t>ն</w:t>
      </w:r>
      <w:r w:rsidR="001A58C9" w:rsidRPr="00A350E1">
        <w:rPr>
          <w:rStyle w:val="Bodytext26"/>
          <w:rFonts w:ascii="GHEA Grapalat" w:hAnsi="GHEA Grapalat"/>
          <w:sz w:val="24"/>
          <w:szCs w:val="24"/>
        </w:rPr>
        <w:t xml:space="preserve"> աջակցություն է տրամադրել ՈԵ համակարգին՝ չգրանցելով մեծ հաջողություններ։ Հայաս</w:t>
      </w:r>
      <w:r w:rsidR="00E142CE" w:rsidRPr="00A350E1">
        <w:rPr>
          <w:rStyle w:val="Bodytext26"/>
          <w:rFonts w:ascii="GHEA Grapalat" w:hAnsi="GHEA Grapalat"/>
          <w:sz w:val="24"/>
          <w:szCs w:val="24"/>
        </w:rPr>
        <w:t>տ</w:t>
      </w:r>
      <w:r w:rsidR="001A58C9" w:rsidRPr="00A350E1">
        <w:rPr>
          <w:rStyle w:val="Bodytext26"/>
          <w:rFonts w:ascii="GHEA Grapalat" w:hAnsi="GHEA Grapalat"/>
          <w:sz w:val="24"/>
          <w:szCs w:val="24"/>
        </w:rPr>
        <w:t xml:space="preserve">անի ընկերությունների համար հիմնական խոչընդոտ </w:t>
      </w:r>
      <w:r w:rsidR="00C155D7" w:rsidRPr="00A350E1">
        <w:rPr>
          <w:rStyle w:val="Bodytext26"/>
          <w:rFonts w:ascii="GHEA Grapalat" w:hAnsi="GHEA Grapalat"/>
          <w:sz w:val="24"/>
          <w:szCs w:val="24"/>
        </w:rPr>
        <w:t xml:space="preserve">է </w:t>
      </w:r>
      <w:r w:rsidR="001A58C9" w:rsidRPr="00A350E1">
        <w:rPr>
          <w:rStyle w:val="Bodytext26"/>
          <w:rFonts w:ascii="GHEA Grapalat" w:hAnsi="GHEA Grapalat"/>
          <w:sz w:val="24"/>
          <w:szCs w:val="24"/>
        </w:rPr>
        <w:t>համարվում ԵՄ շուկայի պահանջներին համապատասխանելու նպատակով իրենց արտադրության գործընթաց</w:t>
      </w:r>
      <w:r w:rsidR="00E142CE" w:rsidRPr="00A350E1">
        <w:rPr>
          <w:rStyle w:val="Bodytext26"/>
          <w:rFonts w:ascii="GHEA Grapalat" w:hAnsi="GHEA Grapalat"/>
          <w:sz w:val="24"/>
          <w:szCs w:val="24"/>
        </w:rPr>
        <w:t>ը</w:t>
      </w:r>
      <w:r w:rsidR="001A58C9" w:rsidRPr="00A350E1">
        <w:rPr>
          <w:rStyle w:val="Bodytext26"/>
          <w:rFonts w:ascii="GHEA Grapalat" w:hAnsi="GHEA Grapalat"/>
          <w:sz w:val="24"/>
          <w:szCs w:val="24"/>
        </w:rPr>
        <w:t xml:space="preserve"> </w:t>
      </w:r>
      <w:r w:rsidR="009F05EC" w:rsidRPr="00A350E1">
        <w:rPr>
          <w:rStyle w:val="Bodytext26"/>
          <w:rFonts w:ascii="GHEA Grapalat" w:hAnsi="GHEA Grapalat"/>
          <w:sz w:val="24"/>
          <w:szCs w:val="24"/>
        </w:rPr>
        <w:t>բարել</w:t>
      </w:r>
      <w:r w:rsidR="00E142CE" w:rsidRPr="00A350E1">
        <w:rPr>
          <w:rStyle w:val="Bodytext26"/>
          <w:rFonts w:ascii="GHEA Grapalat" w:hAnsi="GHEA Grapalat"/>
          <w:sz w:val="24"/>
          <w:szCs w:val="24"/>
        </w:rPr>
        <w:t>ավելու</w:t>
      </w:r>
      <w:r w:rsidR="00453E93" w:rsidRPr="00A350E1">
        <w:rPr>
          <w:rStyle w:val="Bodytext26"/>
          <w:rFonts w:ascii="GHEA Grapalat" w:hAnsi="GHEA Grapalat"/>
          <w:sz w:val="24"/>
          <w:szCs w:val="24"/>
        </w:rPr>
        <w:t xml:space="preserve"> </w:t>
      </w:r>
      <w:r w:rsidR="001A58C9" w:rsidRPr="00A350E1">
        <w:rPr>
          <w:rStyle w:val="Bodytext26"/>
          <w:rFonts w:ascii="GHEA Grapalat" w:hAnsi="GHEA Grapalat"/>
          <w:sz w:val="24"/>
          <w:szCs w:val="24"/>
        </w:rPr>
        <w:t>կարողությունների բացակայությունը։ Միջոցառումները կլրացնեն Միջազգային առ</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տրային կենտրոնի հետ (ՄԱԿ/ԱՀԿ) իրականացվող տարածաշրջանային ծրագիրը, ինչպես նա</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տարածաշրջանային մակարդակում </w:t>
      </w:r>
      <w:r w:rsidR="001A58C9" w:rsidRPr="00A350E1">
        <w:rPr>
          <w:rStyle w:val="Bodytext26"/>
          <w:rFonts w:ascii="GHEA Grapalat" w:hAnsi="GHEA Grapalat"/>
          <w:sz w:val="24"/>
          <w:szCs w:val="24"/>
        </w:rPr>
        <w:lastRenderedPageBreak/>
        <w:t xml:space="preserve">իրականացվող մյուս նախաձեռնությունները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հիմնականում ուղղված կլինեն արտահանման հետ կապված խոչընդոտներին։ Միջոցառումների իրականացման համար կարող են դիտարկվել հատուկ ՏԱ կամ թվինինգ ծրագր</w:t>
      </w:r>
      <w:r w:rsidR="00E142CE" w:rsidRPr="00A350E1">
        <w:rPr>
          <w:rStyle w:val="Bodytext26"/>
          <w:rFonts w:ascii="GHEA Grapalat" w:hAnsi="GHEA Grapalat"/>
          <w:sz w:val="24"/>
          <w:szCs w:val="24"/>
        </w:rPr>
        <w:t>եր</w:t>
      </w:r>
      <w:r w:rsidR="001A58C9" w:rsidRPr="00A350E1">
        <w:rPr>
          <w:rStyle w:val="Bodytext26"/>
          <w:rFonts w:ascii="GHEA Grapalat" w:hAnsi="GHEA Grapalat"/>
          <w:sz w:val="24"/>
          <w:szCs w:val="24"/>
        </w:rPr>
        <w:t xml:space="preserve"> կամ տարածաշրջանային ծրագիրն </w:t>
      </w:r>
      <w:r w:rsidR="00E142CE" w:rsidRPr="00A350E1">
        <w:rPr>
          <w:rStyle w:val="Bodytext26"/>
          <w:rFonts w:ascii="GHEA Grapalat" w:hAnsi="GHEA Grapalat"/>
          <w:sz w:val="24"/>
          <w:szCs w:val="24"/>
        </w:rPr>
        <w:t>ամբողջացնելու</w:t>
      </w:r>
      <w:r w:rsidR="00385305" w:rsidRPr="00A350E1">
        <w:rPr>
          <w:rStyle w:val="Bodytext26"/>
          <w:rFonts w:ascii="GHEA Grapalat" w:hAnsi="GHEA Grapalat"/>
          <w:sz w:val="24"/>
          <w:szCs w:val="24"/>
        </w:rPr>
        <w:t xml:space="preserve"> </w:t>
      </w:r>
      <w:r w:rsidR="001A58C9" w:rsidRPr="00A350E1">
        <w:rPr>
          <w:rStyle w:val="Bodytext26"/>
          <w:rFonts w:ascii="GHEA Grapalat" w:hAnsi="GHEA Grapalat"/>
          <w:sz w:val="24"/>
          <w:szCs w:val="24"/>
        </w:rPr>
        <w:t>հարցը։</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Default="001A58C9" w:rsidP="003F7011">
      <w:pPr>
        <w:pStyle w:val="Bodytext50"/>
        <w:shd w:val="clear" w:color="auto" w:fill="auto"/>
        <w:tabs>
          <w:tab w:val="left" w:pos="1134"/>
        </w:tabs>
        <w:spacing w:before="0" w:after="160" w:line="360" w:lineRule="auto"/>
        <w:ind w:right="-1" w:firstLine="567"/>
        <w:jc w:val="left"/>
        <w:rPr>
          <w:rStyle w:val="Bodytext51"/>
          <w:rFonts w:ascii="GHEA Grapalat" w:hAnsi="GHEA Grapalat"/>
          <w:b/>
          <w:sz w:val="24"/>
          <w:szCs w:val="24"/>
        </w:rPr>
      </w:pPr>
      <w:r w:rsidRPr="00A350E1">
        <w:rPr>
          <w:rStyle w:val="Bodytext51"/>
          <w:rFonts w:ascii="GHEA Grapalat" w:hAnsi="GHEA Grapalat"/>
          <w:b/>
          <w:sz w:val="24"/>
          <w:szCs w:val="24"/>
        </w:rPr>
        <w:t>Բաղադրիչ 4.</w:t>
      </w:r>
      <w:r w:rsidR="00617988">
        <w:rPr>
          <w:rStyle w:val="Bodytext51"/>
          <w:rFonts w:ascii="GHEA Grapalat" w:hAnsi="GHEA Grapalat"/>
          <w:b/>
          <w:sz w:val="24"/>
          <w:szCs w:val="24"/>
        </w:rPr>
        <w:tab/>
      </w:r>
      <w:r w:rsidRPr="00A350E1">
        <w:rPr>
          <w:rStyle w:val="Bodytext51"/>
          <w:rFonts w:ascii="GHEA Grapalat" w:hAnsi="GHEA Grapalat"/>
          <w:b/>
          <w:sz w:val="24"/>
          <w:szCs w:val="24"/>
        </w:rPr>
        <w:t xml:space="preserve">Հաղորդակցություն </w:t>
      </w:r>
      <w:r w:rsidR="001118B9" w:rsidRPr="00A350E1">
        <w:rPr>
          <w:rStyle w:val="Bodytext51"/>
          <w:rFonts w:ascii="GHEA Grapalat" w:hAnsi="GHEA Grapalat"/>
          <w:b/>
          <w:sz w:val="24"/>
          <w:szCs w:val="24"/>
        </w:rPr>
        <w:t>եւ</w:t>
      </w:r>
      <w:r w:rsidRPr="00A350E1">
        <w:rPr>
          <w:rStyle w:val="Bodytext51"/>
          <w:rFonts w:ascii="GHEA Grapalat" w:hAnsi="GHEA Grapalat"/>
          <w:b/>
          <w:sz w:val="24"/>
          <w:szCs w:val="24"/>
        </w:rPr>
        <w:t xml:space="preserve"> էներգիա</w:t>
      </w:r>
    </w:p>
    <w:p w:rsidR="00617988" w:rsidRPr="00A350E1" w:rsidRDefault="00617988" w:rsidP="00617988">
      <w:pPr>
        <w:pStyle w:val="Bodytext50"/>
        <w:shd w:val="clear" w:color="auto" w:fill="auto"/>
        <w:spacing w:before="0" w:after="160" w:line="360" w:lineRule="auto"/>
        <w:ind w:right="-1" w:firstLine="567"/>
        <w:rPr>
          <w:rFonts w:ascii="GHEA Grapalat" w:hAnsi="GHEA Grapalat" w:cs="Sylfaen"/>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ԵԸԱԳ ինտեգրման գործընթացում ավիացիոն տրանսպորտի ապահովում</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617988">
        <w:rPr>
          <w:rStyle w:val="Bodytext26"/>
          <w:rFonts w:ascii="GHEA Grapalat" w:hAnsi="GHEA Grapalat"/>
          <w:spacing w:val="-4"/>
          <w:sz w:val="24"/>
          <w:szCs w:val="24"/>
        </w:rPr>
        <w:t xml:space="preserve">Հայաստանի՝ Եվրոպական ընդհանուր ավիացիոն գոտում (ԵԸԱԳ) ինտեգրմանն առնչվող </w:t>
      </w:r>
      <w:r w:rsidR="00047238" w:rsidRPr="00617988">
        <w:rPr>
          <w:rStyle w:val="Heading21"/>
          <w:rFonts w:ascii="GHEA Grapalat" w:hAnsi="GHEA Grapalat"/>
          <w:b w:val="0"/>
          <w:spacing w:val="-4"/>
          <w:sz w:val="24"/>
          <w:szCs w:val="24"/>
        </w:rPr>
        <w:t>«</w:t>
      </w:r>
      <w:r w:rsidRPr="00617988">
        <w:rPr>
          <w:rStyle w:val="Bodytext26"/>
          <w:rFonts w:ascii="GHEA Grapalat" w:hAnsi="GHEA Grapalat"/>
          <w:spacing w:val="-4"/>
          <w:sz w:val="24"/>
          <w:szCs w:val="24"/>
        </w:rPr>
        <w:t>Օդային տրանսպորտի համապարփակ համաձայնագրի</w:t>
      </w:r>
      <w:r w:rsidR="00047238" w:rsidRPr="00617988">
        <w:rPr>
          <w:rStyle w:val="Heading21"/>
          <w:rFonts w:ascii="GHEA Grapalat" w:hAnsi="GHEA Grapalat"/>
          <w:b w:val="0"/>
          <w:spacing w:val="-4"/>
          <w:sz w:val="24"/>
          <w:szCs w:val="24"/>
        </w:rPr>
        <w:t>»</w:t>
      </w:r>
      <w:r w:rsidRPr="00617988">
        <w:rPr>
          <w:rStyle w:val="Bodytext26"/>
          <w:rFonts w:ascii="GHEA Grapalat" w:hAnsi="GHEA Grapalat"/>
          <w:spacing w:val="-4"/>
          <w:sz w:val="24"/>
          <w:szCs w:val="24"/>
        </w:rPr>
        <w:t xml:space="preserve"> ստորագրումը կպահանջի աջակցություն դրա</w:t>
      </w:r>
      <w:r w:rsidRPr="00A350E1">
        <w:rPr>
          <w:rStyle w:val="Bodytext26"/>
          <w:rFonts w:ascii="GHEA Grapalat" w:hAnsi="GHEA Grapalat"/>
          <w:sz w:val="24"/>
          <w:szCs w:val="24"/>
        </w:rPr>
        <w:t xml:space="preserve"> իրականացման համար։ Սա կարող է ներառել տարբեր ոլորտն</w:t>
      </w:r>
      <w:r w:rsidR="00333214">
        <w:rPr>
          <w:rStyle w:val="Bodytext26"/>
          <w:rFonts w:ascii="GHEA Grapalat" w:hAnsi="GHEA Grapalat"/>
          <w:sz w:val="24"/>
          <w:szCs w:val="24"/>
        </w:rPr>
        <w:t>ե</w:t>
      </w:r>
      <w:r w:rsidRPr="00A350E1">
        <w:rPr>
          <w:rStyle w:val="Bodytext26"/>
          <w:rFonts w:ascii="GHEA Grapalat" w:hAnsi="GHEA Grapalat"/>
          <w:sz w:val="24"/>
          <w:szCs w:val="24"/>
        </w:rPr>
        <w:t xml:space="preserve">ր, ինչպես օրինակ՝ տնտեսական կարգավորում, սոցիալական ասպեկտներ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սպառողների իրավունքների պաշտպանությանն ուղղված միջոցառումներ,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թռիչքային պիտանիության ապահովում, ավիացիոն անձնակազմ, օդային փոխադրումներ, Օդային երթ</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եկության կառավարում (ՕԹԿ)/Օդանավագնացության ծառայություններ (ՕԳԾ), աերոդրոմներ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անվտանգության կառավարում։ Աջակցությամբ կարող է ավարտին հասցվել Ավիացիոն անվտանգության եվրոպական գործակալության (ԱՎԵԳ) կողմից իրականացված տարածաշրջանային ծրագիրը կամ լրացնել այն ՏԱ</w:t>
      </w:r>
      <w:r w:rsidR="00617988">
        <w:rPr>
          <w:rStyle w:val="Bodytext26"/>
          <w:rFonts w:ascii="GHEA Grapalat" w:hAnsi="GHEA Grapalat"/>
          <w:sz w:val="24"/>
          <w:szCs w:val="24"/>
        </w:rPr>
        <w:t>-</w:t>
      </w:r>
      <w:r w:rsidRPr="00A350E1">
        <w:rPr>
          <w:rStyle w:val="Bodytext26"/>
          <w:rFonts w:ascii="GHEA Grapalat" w:hAnsi="GHEA Grapalat"/>
          <w:sz w:val="24"/>
          <w:szCs w:val="24"/>
        </w:rPr>
        <w:t>ի կամ թվինինգ ծրագրի միջոցով։</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617988">
      <w:pPr>
        <w:pStyle w:val="Heading20"/>
        <w:shd w:val="clear" w:color="auto" w:fill="auto"/>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 xml:space="preserve">Էներգաարդյունավետության </w:t>
      </w:r>
      <w:r w:rsidR="001118B9" w:rsidRPr="00A350E1">
        <w:rPr>
          <w:rStyle w:val="Heading21"/>
          <w:rFonts w:ascii="GHEA Grapalat" w:hAnsi="GHEA Grapalat"/>
          <w:b/>
          <w:sz w:val="24"/>
          <w:szCs w:val="24"/>
        </w:rPr>
        <w:t>եւ</w:t>
      </w:r>
      <w:r w:rsidRPr="00A350E1">
        <w:rPr>
          <w:rStyle w:val="Heading21"/>
          <w:rFonts w:ascii="GHEA Grapalat" w:hAnsi="GHEA Grapalat"/>
          <w:b/>
          <w:sz w:val="24"/>
          <w:szCs w:val="24"/>
        </w:rPr>
        <w:t xml:space="preserve"> վերականգնվող էներգիայի շուկայի զարգացում</w:t>
      </w:r>
    </w:p>
    <w:p w:rsidR="00C15D0A" w:rsidRDefault="001A58C9" w:rsidP="00617988">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ՀԲ-</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Հայաստանի էներգետիկ ոլորտում ամենաակտիվ զարգացման գործընկերներից մեկն է՝ քաղաքականության հետ կապված բարեփոխումների, </w:t>
      </w:r>
      <w:r w:rsidRPr="00A350E1">
        <w:rPr>
          <w:rStyle w:val="Bodytext26"/>
          <w:rFonts w:ascii="GHEA Grapalat" w:hAnsi="GHEA Grapalat"/>
          <w:sz w:val="24"/>
          <w:szCs w:val="24"/>
        </w:rPr>
        <w:lastRenderedPageBreak/>
        <w:t>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ենթակառուցվածքների զարգացման մասով։ Սերտորեն համագործակցելով «ԵՄ</w:t>
      </w:r>
      <w:r w:rsidR="00617988">
        <w:rPr>
          <w:rStyle w:val="Bodytext26"/>
          <w:rFonts w:ascii="GHEA Grapalat" w:hAnsi="GHEA Grapalat"/>
          <w:sz w:val="24"/>
          <w:szCs w:val="24"/>
        </w:rPr>
        <w:t>-</w:t>
      </w:r>
      <w:r w:rsidRPr="00A350E1">
        <w:rPr>
          <w:rStyle w:val="Bodytext26"/>
          <w:rFonts w:ascii="GHEA Grapalat" w:hAnsi="GHEA Grapalat"/>
          <w:sz w:val="24"/>
          <w:szCs w:val="24"/>
        </w:rPr>
        <w:t>ն էներգետիկայի համար» տարածաշրջանային ծրագրի շրջանակներում՝ ՀԲ-ն աջակցություն կտրամադրի մի շարք ոլորտներում՝ հավանաբար ներառելով, սակայն չսահմանափակելով՝ էներգաարդյունավետության ծրագրերը նախապատրաստելու, ֆինանսավորելու, դրանց մասնակցելու,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իրականացնելու համար կարողությունների զարգացում. հատկապես բնակելի շենքերի համար էներգաարդյունավետության ծրագրերի իրականացման նպատակով</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էներգաարդյունավետության շուկայի միջնորդների՝ ֆինանսական մոդելներ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գործիքներ նախագծելու եւ փորձարկելու կարողությունների զարգացում. պիլոտային տարածաշրջանում բազմաբնակարան բնակելի շենքի էներգաարդյունավետության առաջատար ծրագրի նախագծում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մեկնարկ. ՏԱ՝ էներգաարդյունավետության ապահովումը որոշելու չափանիշների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գործիքների սահմանման համար։</w:t>
      </w:r>
    </w:p>
    <w:p w:rsidR="00617988" w:rsidRPr="00A350E1" w:rsidRDefault="00617988" w:rsidP="00617988">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F7011">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1.3.</w:t>
      </w:r>
      <w:r w:rsidR="00617988">
        <w:rPr>
          <w:rFonts w:ascii="GHEA Grapalat" w:hAnsi="GHEA Grapalat"/>
          <w:sz w:val="24"/>
          <w:szCs w:val="24"/>
        </w:rPr>
        <w:tab/>
      </w:r>
      <w:r w:rsidRPr="00A350E1">
        <w:rPr>
          <w:rStyle w:val="Heading21"/>
          <w:rFonts w:ascii="GHEA Grapalat" w:hAnsi="GHEA Grapalat"/>
          <w:b/>
          <w:sz w:val="24"/>
          <w:szCs w:val="24"/>
        </w:rPr>
        <w:t>Միջամտության հիմնավորումը</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Սույն Տեխնիկական համագործակցության գործիքը (ՏՀԳ) մշակվել է Համաշխարհային բանկի (ՀԲ) ու Վերակառուցման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զարգացման եվրոպական բանկի (ՎԶԵԲ) հետ համատեղ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հիմնված է երկրում այդ կազմակերպությունների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ԵՄ-ի հետ համագործակցության ներկայիս </w:t>
      </w:r>
      <w:r w:rsidR="00E142CE" w:rsidRPr="00A350E1">
        <w:rPr>
          <w:rStyle w:val="Bodytext26"/>
          <w:rFonts w:ascii="GHEA Grapalat" w:hAnsi="GHEA Grapalat"/>
          <w:sz w:val="24"/>
          <w:szCs w:val="24"/>
        </w:rPr>
        <w:t>իրա</w:t>
      </w:r>
      <w:r w:rsidRPr="00A350E1">
        <w:rPr>
          <w:rStyle w:val="Bodytext26"/>
          <w:rFonts w:ascii="GHEA Grapalat" w:hAnsi="GHEA Grapalat"/>
          <w:sz w:val="24"/>
          <w:szCs w:val="24"/>
        </w:rPr>
        <w:t>վիճակի վրա։</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Համաշխարհային բանկը</w:t>
      </w:r>
      <w:r w:rsidR="007E3C20" w:rsidRPr="00A350E1">
        <w:rPr>
          <w:rStyle w:val="Bodytext26"/>
          <w:rFonts w:ascii="GHEA Grapalat" w:hAnsi="GHEA Grapalat"/>
          <w:sz w:val="24"/>
          <w:szCs w:val="24"/>
        </w:rPr>
        <w:t>՝</w:t>
      </w:r>
      <w:r w:rsidRPr="00A350E1">
        <w:rPr>
          <w:rStyle w:val="Bodytext26"/>
          <w:rFonts w:ascii="GHEA Grapalat" w:hAnsi="GHEA Grapalat"/>
          <w:sz w:val="24"/>
          <w:szCs w:val="24"/>
        </w:rPr>
        <w:t xml:space="preserve"> որպես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յալ ոլորտներում հնարավոր գործընկեր, </w:t>
      </w:r>
      <w:r w:rsidR="00E142CE" w:rsidRPr="00A350E1">
        <w:rPr>
          <w:rStyle w:val="Bodytext26"/>
          <w:rFonts w:ascii="GHEA Grapalat" w:hAnsi="GHEA Grapalat"/>
          <w:sz w:val="24"/>
          <w:szCs w:val="24"/>
        </w:rPr>
        <w:t>առաջարկում</w:t>
      </w:r>
      <w:r w:rsidR="00491EEF" w:rsidRPr="00A350E1">
        <w:rPr>
          <w:rStyle w:val="Bodytext26"/>
          <w:rFonts w:ascii="GHEA Grapalat" w:hAnsi="GHEA Grapalat"/>
          <w:sz w:val="24"/>
          <w:szCs w:val="24"/>
        </w:rPr>
        <w:t xml:space="preserve"> </w:t>
      </w:r>
      <w:r w:rsidRPr="00A350E1">
        <w:rPr>
          <w:rStyle w:val="Bodytext26"/>
          <w:rFonts w:ascii="GHEA Grapalat" w:hAnsi="GHEA Grapalat"/>
          <w:sz w:val="24"/>
          <w:szCs w:val="24"/>
        </w:rPr>
        <w:t>է համապատասխան պետական մարմինների հետ կայուն գործընկերության մեծ փորձ,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ոլորտային վերլուծությունների միջոցով մշակված խոր ինտելեկտուալ հարթակ. Համաշխարհային բանկը Հայաստանի կառավարության հետ աշխատել է</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21 տարուց ավելի` մակրոֆինանսական բարեփոխումների ավելի բարդ օրակարգով (1-ին բաղադրիչի 1-ին գործողություն). վերջին 8 տարիների ընթացքում քաղաքականության վրա հիմնված՝ ՀԲ-ի կողմից </w:t>
      </w:r>
      <w:r w:rsidR="00E142CE" w:rsidRPr="00A350E1">
        <w:rPr>
          <w:rStyle w:val="Bodytext26"/>
          <w:rFonts w:ascii="GHEA Grapalat" w:hAnsi="GHEA Grapalat"/>
          <w:sz w:val="24"/>
          <w:szCs w:val="24"/>
        </w:rPr>
        <w:t xml:space="preserve">մի շարք </w:t>
      </w:r>
      <w:r w:rsidRPr="00A350E1">
        <w:rPr>
          <w:rStyle w:val="Bodytext26"/>
          <w:rFonts w:ascii="GHEA Grapalat" w:hAnsi="GHEA Grapalat"/>
          <w:sz w:val="24"/>
          <w:szCs w:val="24"/>
        </w:rPr>
        <w:t xml:space="preserve">վարկավորումների </w:t>
      </w:r>
      <w:r w:rsidR="00E142CE" w:rsidRPr="00A350E1">
        <w:rPr>
          <w:rStyle w:val="Bodytext26"/>
          <w:rFonts w:ascii="GHEA Grapalat" w:hAnsi="GHEA Grapalat"/>
          <w:sz w:val="24"/>
          <w:szCs w:val="24"/>
        </w:rPr>
        <w:lastRenderedPageBreak/>
        <w:t>արդյունքում</w:t>
      </w:r>
      <w:r w:rsidR="00A67BB0" w:rsidRPr="00A350E1">
        <w:rPr>
          <w:rStyle w:val="Bodytext26"/>
          <w:rFonts w:ascii="GHEA Grapalat" w:hAnsi="GHEA Grapalat"/>
          <w:sz w:val="24"/>
          <w:szCs w:val="24"/>
        </w:rPr>
        <w:t xml:space="preserve"> </w:t>
      </w:r>
      <w:r w:rsidRPr="00A350E1">
        <w:rPr>
          <w:rStyle w:val="Bodytext26"/>
          <w:rFonts w:ascii="GHEA Grapalat" w:hAnsi="GHEA Grapalat"/>
          <w:sz w:val="24"/>
          <w:szCs w:val="24"/>
        </w:rPr>
        <w:t>բարելավվել է կարգավորման պարզեցման եւ տեսչական բարեփոխո</w:t>
      </w:r>
      <w:r w:rsidR="00E142CE" w:rsidRPr="00A350E1">
        <w:rPr>
          <w:rStyle w:val="Bodytext26"/>
          <w:rFonts w:ascii="GHEA Grapalat" w:hAnsi="GHEA Grapalat"/>
          <w:sz w:val="24"/>
          <w:szCs w:val="24"/>
        </w:rPr>
        <w:t>ւ</w:t>
      </w:r>
      <w:r w:rsidRPr="00A350E1">
        <w:rPr>
          <w:rStyle w:val="Bodytext26"/>
          <w:rFonts w:ascii="GHEA Grapalat" w:hAnsi="GHEA Grapalat"/>
          <w:sz w:val="24"/>
          <w:szCs w:val="24"/>
        </w:rPr>
        <w:t>մների վերաբերյալ բ</w:t>
      </w:r>
      <w:r w:rsidR="00E142CE" w:rsidRPr="00A350E1">
        <w:rPr>
          <w:rStyle w:val="Bodytext26"/>
          <w:rFonts w:ascii="GHEA Grapalat" w:hAnsi="GHEA Grapalat"/>
          <w:sz w:val="24"/>
          <w:szCs w:val="24"/>
        </w:rPr>
        <w:t>ա</w:t>
      </w:r>
      <w:r w:rsidRPr="00A350E1">
        <w:rPr>
          <w:rStyle w:val="Bodytext26"/>
          <w:rFonts w:ascii="GHEA Grapalat" w:hAnsi="GHEA Grapalat"/>
          <w:sz w:val="24"/>
          <w:szCs w:val="24"/>
        </w:rPr>
        <w:t>ր</w:t>
      </w:r>
      <w:r w:rsidR="00E142CE" w:rsidRPr="00A350E1">
        <w:rPr>
          <w:rStyle w:val="Bodytext26"/>
          <w:rFonts w:ascii="GHEA Grapalat" w:hAnsi="GHEA Grapalat"/>
          <w:sz w:val="24"/>
          <w:szCs w:val="24"/>
        </w:rPr>
        <w:t>ե</w:t>
      </w:r>
      <w:r w:rsidRPr="00A350E1">
        <w:rPr>
          <w:rStyle w:val="Bodytext26"/>
          <w:rFonts w:ascii="GHEA Grapalat" w:hAnsi="GHEA Grapalat"/>
          <w:sz w:val="24"/>
          <w:szCs w:val="24"/>
        </w:rPr>
        <w:t xml:space="preserve">փոխման օրակարգը (2-րդ բաղադրիչի 1-ին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4-րդ գործողություններ).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ՀԲ-</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ստեղծել է հասարակական շենքերի էներգաարդյունավետության բարելավման համար ամբողջովին ինքնուրույն ֆինանսավորվող առաջին մեծածավալ մոդելը, որով Կառավարությունից կամ դոնորներից չի պահանջվում որ</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է խաչաձ</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սուբսիդավորում դրամաշնորհային միջոցների ձ</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ով (4-րդ բաղադրիչի 2-րդ գործողություն)։</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Վերակառուցման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զարգացման եվրոպական բանկը Հայաստանի համար </w:t>
      </w:r>
      <w:r w:rsidR="007C5538" w:rsidRPr="00A350E1">
        <w:rPr>
          <w:rStyle w:val="Bodytext26"/>
          <w:rFonts w:ascii="GHEA Grapalat" w:hAnsi="GHEA Grapalat"/>
          <w:sz w:val="24"/>
          <w:szCs w:val="24"/>
        </w:rPr>
        <w:t>2015 թվականի</w:t>
      </w:r>
      <w:r w:rsid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իր</w:t>
      </w:r>
      <w:r w:rsidR="007C5538" w:rsidRPr="00A350E1">
        <w:rPr>
          <w:rStyle w:val="Bodytext26"/>
          <w:rFonts w:ascii="GHEA Grapalat" w:hAnsi="GHEA Grapalat"/>
          <w:sz w:val="24"/>
          <w:szCs w:val="24"/>
        </w:rPr>
        <w:t xml:space="preserve"> </w:t>
      </w:r>
      <w:r w:rsidRPr="00A350E1">
        <w:rPr>
          <w:rStyle w:val="Bodytext26"/>
          <w:rFonts w:ascii="GHEA Grapalat" w:hAnsi="GHEA Grapalat"/>
          <w:sz w:val="24"/>
          <w:szCs w:val="24"/>
        </w:rPr>
        <w:t>ռազմավարության մեջ սահմանել է իր հիմնական առաջնահերթությունները. դրանք են՝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i) կապիտալի շուկաների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տեղական արժույթով ֆինանսավորման զարգացման միջոցով բարելավել ֆինանսների մատչելիությունը</w:t>
      </w:r>
      <w:r w:rsidR="00E142CE" w:rsidRPr="00A350E1">
        <w:rPr>
          <w:rStyle w:val="Bodytext26"/>
          <w:rFonts w:ascii="GHEA Grapalat" w:hAnsi="GHEA Grapalat"/>
          <w:sz w:val="24"/>
          <w:szCs w:val="24"/>
        </w:rPr>
        <w:t>,</w:t>
      </w:r>
      <w:r w:rsidRPr="00A350E1">
        <w:rPr>
          <w:rStyle w:val="Bodytext26"/>
          <w:rFonts w:ascii="GHEA Grapalat" w:hAnsi="GHEA Grapalat"/>
          <w:sz w:val="24"/>
          <w:szCs w:val="24"/>
        </w:rPr>
        <w:t xml:space="preserve"> ii) կարողությունների հզորացման,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կորպորատիվ թափանցիկության մակարդակի բարձրացման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քաղաքականության վերաբերյալ երկխոսությամբ բիզնես միջավայրի բարելավման միջոցով բարձրացնել մասնավոր հատվածի մրցունակությունը, iii) ձ</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ավորել կայուն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եկամտաբեր կոմունալ ծառայություններ։ Առաջնահերթությունները հիմնված են </w:t>
      </w:r>
      <w:r w:rsidR="00854C5A" w:rsidRPr="00A350E1">
        <w:rPr>
          <w:rStyle w:val="Bodytext26"/>
          <w:rFonts w:ascii="GHEA Grapalat" w:hAnsi="GHEA Grapalat"/>
          <w:sz w:val="24"/>
          <w:szCs w:val="24"/>
        </w:rPr>
        <w:t xml:space="preserve">մյուս </w:t>
      </w:r>
      <w:r w:rsidRPr="00A350E1">
        <w:rPr>
          <w:rStyle w:val="Bodytext26"/>
          <w:rFonts w:ascii="GHEA Grapalat" w:hAnsi="GHEA Grapalat"/>
          <w:sz w:val="24"/>
          <w:szCs w:val="24"/>
        </w:rPr>
        <w:t xml:space="preserve">դոնոր համայնքների հետ </w:t>
      </w:r>
      <w:r w:rsidR="00854C5A" w:rsidRPr="00A350E1">
        <w:rPr>
          <w:rStyle w:val="Bodytext26"/>
          <w:rFonts w:ascii="GHEA Grapalat" w:hAnsi="GHEA Grapalat"/>
          <w:sz w:val="24"/>
          <w:szCs w:val="24"/>
        </w:rPr>
        <w:t xml:space="preserve">համատեղ </w:t>
      </w:r>
      <w:r w:rsidRPr="00A350E1">
        <w:rPr>
          <w:rStyle w:val="Bodytext26"/>
          <w:rFonts w:ascii="GHEA Grapalat" w:hAnsi="GHEA Grapalat"/>
          <w:sz w:val="24"/>
          <w:szCs w:val="24"/>
        </w:rPr>
        <w:t xml:space="preserve">կատարված ախտորոշման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ԵՄ</w:t>
      </w:r>
      <w:r w:rsidR="00617988">
        <w:rPr>
          <w:rStyle w:val="Bodytext26"/>
          <w:rFonts w:ascii="GHEA Grapalat" w:hAnsi="GHEA Grapalat"/>
          <w:sz w:val="24"/>
          <w:szCs w:val="24"/>
        </w:rPr>
        <w:t>-</w:t>
      </w:r>
      <w:r w:rsidRPr="00A350E1">
        <w:rPr>
          <w:rStyle w:val="Bodytext26"/>
          <w:rFonts w:ascii="GHEA Grapalat" w:hAnsi="GHEA Grapalat"/>
          <w:sz w:val="24"/>
          <w:szCs w:val="24"/>
        </w:rPr>
        <w:t>ի հետ համատեղ վերլուծությունների վրա։ ՎԶԵԲ-ը հաստատել է, որ կլինի առաջատար գործընկեր առանցքային ոլորտներում,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աբար այդ միջոցառումների իրականացումը կվերապահվի ՎԶԵԲ-ին։</w:t>
      </w:r>
      <w:r w:rsidR="00E142CE" w:rsidRPr="00A350E1">
        <w:rPr>
          <w:rStyle w:val="Bodytext26"/>
          <w:rFonts w:ascii="GHEA Grapalat" w:hAnsi="GHEA Grapalat"/>
          <w:sz w:val="24"/>
          <w:szCs w:val="24"/>
        </w:rPr>
        <w:t xml:space="preserve"> </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Այլ կազմակերպություններ նույնպես նշված են որպես տարածաշրջանային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ազգային մակարդակում ԵՄ միջամտությունների ավելի լավ համակարգմանն ուղղված միջոցառման մաս։ Այդ կազմակերպությունները նույնպես համարվում են հնարավոր իրականացնող գործընկերներ։ Հաշվի առնելով նշված միջամտության որոշ բնագավառների զգայունությունը՝ ԵՄ</w:t>
      </w:r>
      <w:r w:rsidR="00617988">
        <w:rPr>
          <w:rStyle w:val="Bodytext26"/>
          <w:rFonts w:ascii="GHEA Grapalat" w:hAnsi="GHEA Grapalat"/>
          <w:sz w:val="24"/>
          <w:szCs w:val="24"/>
        </w:rPr>
        <w:t>-</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կարող էր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իրականացնել որոշակի գործողություններ՝ ուղղակիորեն ՏԱ-ի կամ թվինինգ ծրագրի միջոցով։</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Ոլորտները կարելի է </w:t>
      </w:r>
      <w:r w:rsidR="00E142CE" w:rsidRPr="00A350E1">
        <w:rPr>
          <w:rStyle w:val="Bodytext26"/>
          <w:rFonts w:ascii="GHEA Grapalat" w:hAnsi="GHEA Grapalat"/>
          <w:sz w:val="24"/>
          <w:szCs w:val="24"/>
        </w:rPr>
        <w:t>առանձնացնել</w:t>
      </w:r>
      <w:r w:rsidR="00095E2A"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4 </w:t>
      </w:r>
      <w:r w:rsidR="00E142CE" w:rsidRPr="00A350E1">
        <w:rPr>
          <w:rStyle w:val="Bodytext26"/>
          <w:rFonts w:ascii="GHEA Grapalat" w:hAnsi="GHEA Grapalat"/>
          <w:sz w:val="24"/>
          <w:szCs w:val="24"/>
        </w:rPr>
        <w:t>հիմնական խմբերի</w:t>
      </w:r>
      <w:r w:rsidRPr="00A350E1">
        <w:rPr>
          <w:rStyle w:val="Bodytext26"/>
          <w:rFonts w:ascii="GHEA Grapalat" w:hAnsi="GHEA Grapalat"/>
          <w:sz w:val="24"/>
          <w:szCs w:val="24"/>
        </w:rPr>
        <w:t>՝ ըստ իրենց փոխկապակցվածության,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տարբեր իրականացնող գործընկերների </w:t>
      </w:r>
      <w:r w:rsidRPr="00A350E1">
        <w:rPr>
          <w:rStyle w:val="Bodytext26"/>
          <w:rFonts w:ascii="GHEA Grapalat" w:hAnsi="GHEA Grapalat"/>
          <w:sz w:val="24"/>
          <w:szCs w:val="24"/>
        </w:rPr>
        <w:lastRenderedPageBreak/>
        <w:t>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փոխլրացման ամենաբարձր մակարդակն ու աշխատանքի որոշակի բաժանումն ապահովելու նպատակով։ Սկզբունքները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արտացոլում են տարբեր քաղաքական առաջնահերթություններ (Գլոբալ ռազմավարություն, Ռիգայի առաջնահերթություններ, </w:t>
      </w:r>
      <w:r w:rsidR="00E142CE" w:rsidRPr="00A350E1">
        <w:rPr>
          <w:rStyle w:val="Bodytext26"/>
          <w:rFonts w:ascii="GHEA Grapalat" w:hAnsi="GHEA Grapalat"/>
          <w:sz w:val="24"/>
          <w:szCs w:val="24"/>
        </w:rPr>
        <w:t>Գ</w:t>
      </w:r>
      <w:r w:rsidRPr="00A350E1">
        <w:rPr>
          <w:rStyle w:val="Bodytext26"/>
          <w:rFonts w:ascii="GHEA Grapalat" w:hAnsi="GHEA Grapalat"/>
          <w:sz w:val="24"/>
          <w:szCs w:val="24"/>
        </w:rPr>
        <w:t>ործընկերության առաջնահերթություններ, 2020 թվականի արդյունքներ):</w:t>
      </w:r>
    </w:p>
    <w:p w:rsidR="00C15D0A" w:rsidRPr="00A350E1" w:rsidRDefault="001A58C9" w:rsidP="00617988">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ՏՀԳ-</w:t>
      </w:r>
      <w:r w:rsidR="00E142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կներառ</w:t>
      </w:r>
      <w:r w:rsidR="00E142CE" w:rsidRPr="00A350E1">
        <w:rPr>
          <w:rStyle w:val="Bodytext26"/>
          <w:rFonts w:ascii="GHEA Grapalat" w:hAnsi="GHEA Grapalat"/>
          <w:sz w:val="24"/>
          <w:szCs w:val="24"/>
        </w:rPr>
        <w:t>ի</w:t>
      </w:r>
      <w:r w:rsidRPr="00A350E1">
        <w:rPr>
          <w:rStyle w:val="Bodytext26"/>
          <w:rFonts w:ascii="GHEA Grapalat" w:hAnsi="GHEA Grapalat"/>
          <w:sz w:val="24"/>
          <w:szCs w:val="24"/>
        </w:rPr>
        <w:t xml:space="preserve"> տեխնիկական աջակցության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յալ տեսակները՝ </w:t>
      </w:r>
    </w:p>
    <w:p w:rsidR="00C15D0A" w:rsidRPr="00A350E1" w:rsidRDefault="00C1754D"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r>
      <w:r w:rsidR="001A58C9" w:rsidRPr="00A350E1">
        <w:rPr>
          <w:rStyle w:val="Bodytext26"/>
          <w:rFonts w:ascii="GHEA Grapalat" w:hAnsi="GHEA Grapalat"/>
          <w:sz w:val="24"/>
          <w:szCs w:val="24"/>
        </w:rPr>
        <w:t xml:space="preserve">Քաղաքականության վերաբերյալ խորհրդատվություն (իրավական փաստաթղթերի մշակում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այլն)</w:t>
      </w:r>
    </w:p>
    <w:p w:rsidR="00C15D0A" w:rsidRPr="00A350E1" w:rsidRDefault="00C1754D"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r>
      <w:r w:rsidR="001A58C9" w:rsidRPr="00A350E1">
        <w:rPr>
          <w:rStyle w:val="Bodytext26"/>
          <w:rFonts w:ascii="GHEA Grapalat" w:hAnsi="GHEA Grapalat"/>
          <w:sz w:val="24"/>
          <w:szCs w:val="24"/>
        </w:rPr>
        <w:t>Բարեփոխումների իրականացում (վերապատրաստում, ուղղորդում)</w:t>
      </w:r>
    </w:p>
    <w:p w:rsidR="00C15D0A" w:rsidRPr="00A350E1" w:rsidRDefault="00C1754D"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r>
      <w:r w:rsidR="001A58C9" w:rsidRPr="00A350E1">
        <w:rPr>
          <w:rStyle w:val="Bodytext26"/>
          <w:rFonts w:ascii="GHEA Grapalat" w:hAnsi="GHEA Grapalat"/>
          <w:sz w:val="24"/>
          <w:szCs w:val="24"/>
        </w:rPr>
        <w:t xml:space="preserve">Ոլորտային ուսումնասիրություն (Ռազմավարական նախաձեռնությունների կենտրոնի հետ համագործակցությամբ </w:t>
      </w:r>
      <w:r w:rsidR="001118B9" w:rsidRPr="00A350E1">
        <w:rPr>
          <w:rStyle w:val="Bodytext26"/>
          <w:rFonts w:ascii="GHEA Grapalat" w:hAnsi="GHEA Grapalat"/>
          <w:sz w:val="24"/>
          <w:szCs w:val="24"/>
        </w:rPr>
        <w:t>եւ</w:t>
      </w:r>
      <w:r w:rsidR="001A58C9" w:rsidRPr="00A350E1">
        <w:rPr>
          <w:rStyle w:val="Bodytext26"/>
          <w:rFonts w:ascii="GHEA Grapalat" w:hAnsi="GHEA Grapalat"/>
          <w:sz w:val="24"/>
          <w:szCs w:val="24"/>
        </w:rPr>
        <w:t xml:space="preserve"> ԵՄ ռազմավարական աջակցություն)</w:t>
      </w:r>
    </w:p>
    <w:p w:rsidR="00C15D0A" w:rsidRPr="00A350E1" w:rsidRDefault="00C1754D"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r>
      <w:r w:rsidR="00E142CE" w:rsidRPr="00A350E1">
        <w:rPr>
          <w:rStyle w:val="Bodytext26"/>
          <w:rFonts w:ascii="GHEA Grapalat" w:hAnsi="GHEA Grapalat"/>
          <w:sz w:val="24"/>
          <w:szCs w:val="24"/>
        </w:rPr>
        <w:t>Ե</w:t>
      </w:r>
      <w:r w:rsidR="00E1059B" w:rsidRPr="00A350E1">
        <w:rPr>
          <w:rStyle w:val="Bodytext26"/>
          <w:rFonts w:ascii="GHEA Grapalat" w:hAnsi="GHEA Grapalat"/>
          <w:sz w:val="24"/>
          <w:szCs w:val="24"/>
        </w:rPr>
        <w:t xml:space="preserve">նթակառուցվածքների </w:t>
      </w:r>
      <w:r w:rsidR="00E142CE" w:rsidRPr="00A350E1">
        <w:rPr>
          <w:rStyle w:val="Bodytext26"/>
          <w:rFonts w:ascii="GHEA Grapalat" w:hAnsi="GHEA Grapalat"/>
          <w:sz w:val="24"/>
          <w:szCs w:val="24"/>
        </w:rPr>
        <w:t>ա</w:t>
      </w:r>
      <w:r w:rsidR="00E1059B" w:rsidRPr="00A350E1">
        <w:rPr>
          <w:rStyle w:val="Bodytext26"/>
          <w:rFonts w:ascii="GHEA Grapalat" w:hAnsi="GHEA Grapalat"/>
          <w:sz w:val="24"/>
          <w:szCs w:val="24"/>
        </w:rPr>
        <w:t xml:space="preserve">ռավել </w:t>
      </w:r>
      <w:r w:rsidR="001A58C9" w:rsidRPr="00A350E1">
        <w:rPr>
          <w:rStyle w:val="Bodytext26"/>
          <w:rFonts w:ascii="GHEA Grapalat" w:hAnsi="GHEA Grapalat"/>
          <w:sz w:val="24"/>
          <w:szCs w:val="24"/>
        </w:rPr>
        <w:t>ռիսկային ծրագրերի կամ այլ այլընտրանքների իրագործելիության ուսումնասիրություն</w:t>
      </w:r>
    </w:p>
    <w:p w:rsidR="00C15D0A" w:rsidRPr="00A350E1" w:rsidRDefault="00C1754D"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Pr>
          <w:rFonts w:ascii="GHEA Grapalat" w:hAnsi="GHEA Grapalat"/>
          <w:sz w:val="24"/>
          <w:szCs w:val="24"/>
        </w:rPr>
        <w:t>●</w:t>
      </w:r>
      <w:r>
        <w:rPr>
          <w:rFonts w:ascii="GHEA Grapalat" w:hAnsi="GHEA Grapalat"/>
          <w:sz w:val="24"/>
          <w:szCs w:val="24"/>
        </w:rPr>
        <w:tab/>
      </w:r>
      <w:r w:rsidR="001A58C9" w:rsidRPr="00A350E1">
        <w:rPr>
          <w:rStyle w:val="Bodytext26"/>
          <w:rFonts w:ascii="GHEA Grapalat" w:hAnsi="GHEA Grapalat"/>
          <w:sz w:val="24"/>
          <w:szCs w:val="24"/>
        </w:rPr>
        <w:t>Ոլորտային քաղաքականության վերաբերյալ երկխոսության</w:t>
      </w:r>
      <w:r w:rsidR="00E142CE" w:rsidRPr="00A350E1">
        <w:rPr>
          <w:rStyle w:val="Bodytext26"/>
          <w:rFonts w:ascii="GHEA Grapalat" w:hAnsi="GHEA Grapalat"/>
          <w:sz w:val="24"/>
          <w:szCs w:val="24"/>
        </w:rPr>
        <w:t>ն</w:t>
      </w:r>
      <w:r w:rsidR="001A58C9" w:rsidRPr="00A350E1">
        <w:rPr>
          <w:rStyle w:val="Bodytext26"/>
          <w:rFonts w:ascii="GHEA Grapalat" w:hAnsi="GHEA Grapalat"/>
          <w:sz w:val="24"/>
          <w:szCs w:val="24"/>
        </w:rPr>
        <w:t xml:space="preserve"> </w:t>
      </w:r>
      <w:r w:rsidR="00E142CE" w:rsidRPr="00A350E1">
        <w:rPr>
          <w:rStyle w:val="Bodytext26"/>
          <w:rFonts w:ascii="GHEA Grapalat" w:hAnsi="GHEA Grapalat"/>
          <w:sz w:val="24"/>
          <w:szCs w:val="24"/>
        </w:rPr>
        <w:t>առնչվող</w:t>
      </w:r>
      <w:r w:rsidR="001A58C9" w:rsidRPr="00A350E1">
        <w:rPr>
          <w:rStyle w:val="Bodytext26"/>
          <w:rFonts w:ascii="GHEA Grapalat" w:hAnsi="GHEA Grapalat"/>
          <w:sz w:val="24"/>
          <w:szCs w:val="24"/>
        </w:rPr>
        <w:t xml:space="preserve"> միջոցառումների կազմակերպում</w:t>
      </w:r>
    </w:p>
    <w:p w:rsidR="003F7011" w:rsidRDefault="003F7011" w:rsidP="00C1754D">
      <w:pPr>
        <w:pStyle w:val="Heading20"/>
        <w:shd w:val="clear" w:color="auto" w:fill="auto"/>
        <w:tabs>
          <w:tab w:val="left" w:pos="1134"/>
        </w:tabs>
        <w:spacing w:before="0" w:after="160" w:line="360" w:lineRule="auto"/>
        <w:ind w:right="-1" w:firstLine="567"/>
        <w:jc w:val="left"/>
        <w:outlineLvl w:val="9"/>
        <w:rPr>
          <w:rFonts w:ascii="GHEA Grapalat" w:hAnsi="GHEA Grapalat"/>
          <w:sz w:val="24"/>
          <w:szCs w:val="24"/>
          <w:lang w:val="ru-RU"/>
        </w:rPr>
      </w:pPr>
    </w:p>
    <w:p w:rsidR="00F00A12" w:rsidRDefault="001A58C9" w:rsidP="00C1754D">
      <w:pPr>
        <w:pStyle w:val="Heading20"/>
        <w:shd w:val="clear" w:color="auto" w:fill="auto"/>
        <w:tabs>
          <w:tab w:val="left" w:pos="1134"/>
        </w:tabs>
        <w:spacing w:before="0" w:after="160" w:line="360" w:lineRule="auto"/>
        <w:ind w:right="-1" w:firstLine="567"/>
        <w:jc w:val="left"/>
        <w:outlineLvl w:val="9"/>
        <w:rPr>
          <w:rStyle w:val="Heading21"/>
          <w:rFonts w:ascii="GHEA Grapalat" w:hAnsi="GHEA Grapalat"/>
          <w:b/>
          <w:sz w:val="24"/>
          <w:szCs w:val="24"/>
        </w:rPr>
      </w:pPr>
      <w:r w:rsidRPr="00A350E1">
        <w:rPr>
          <w:rFonts w:ascii="GHEA Grapalat" w:hAnsi="GHEA Grapalat"/>
          <w:sz w:val="24"/>
          <w:szCs w:val="24"/>
        </w:rPr>
        <w:t>2.</w:t>
      </w:r>
      <w:r w:rsidR="00C1754D">
        <w:rPr>
          <w:rFonts w:ascii="GHEA Grapalat" w:hAnsi="GHEA Grapalat"/>
          <w:sz w:val="24"/>
          <w:szCs w:val="24"/>
        </w:rPr>
        <w:tab/>
      </w:r>
      <w:r w:rsidRPr="00A350E1">
        <w:rPr>
          <w:rStyle w:val="Heading21"/>
          <w:rFonts w:ascii="GHEA Grapalat" w:hAnsi="GHEA Grapalat"/>
          <w:b/>
          <w:sz w:val="24"/>
          <w:szCs w:val="24"/>
        </w:rPr>
        <w:t xml:space="preserve">Իրականացումը </w:t>
      </w:r>
    </w:p>
    <w:p w:rsidR="00C1754D" w:rsidRPr="00A350E1" w:rsidRDefault="00C1754D" w:rsidP="00C1754D">
      <w:pPr>
        <w:pStyle w:val="Heading20"/>
        <w:shd w:val="clear" w:color="auto" w:fill="auto"/>
        <w:tabs>
          <w:tab w:val="left" w:pos="1134"/>
        </w:tabs>
        <w:spacing w:before="0" w:after="160" w:line="360" w:lineRule="auto"/>
        <w:ind w:right="-1" w:firstLine="567"/>
        <w:jc w:val="left"/>
        <w:outlineLvl w:val="9"/>
        <w:rPr>
          <w:rStyle w:val="Heading21"/>
          <w:rFonts w:ascii="GHEA Grapalat" w:hAnsi="GHEA Grapalat"/>
          <w:b/>
          <w:sz w:val="24"/>
          <w:szCs w:val="24"/>
        </w:rPr>
      </w:pPr>
    </w:p>
    <w:p w:rsidR="00C15D0A" w:rsidRPr="00A350E1" w:rsidRDefault="001A58C9" w:rsidP="00C1754D">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Style w:val="Heading21"/>
          <w:rFonts w:ascii="GHEA Grapalat" w:hAnsi="GHEA Grapalat"/>
          <w:b/>
          <w:sz w:val="24"/>
          <w:szCs w:val="24"/>
        </w:rPr>
        <w:t>2.1</w:t>
      </w:r>
      <w:r w:rsidR="006024E9" w:rsidRPr="00A350E1">
        <w:rPr>
          <w:rStyle w:val="Heading21"/>
          <w:rFonts w:ascii="GHEA Grapalat" w:hAnsi="GHEA Grapalat"/>
          <w:b/>
          <w:sz w:val="24"/>
          <w:szCs w:val="24"/>
        </w:rPr>
        <w:t>.</w:t>
      </w:r>
      <w:r w:rsidR="00C1754D">
        <w:rPr>
          <w:rStyle w:val="Heading21"/>
          <w:rFonts w:ascii="GHEA Grapalat" w:hAnsi="GHEA Grapalat"/>
          <w:b/>
          <w:sz w:val="24"/>
          <w:szCs w:val="24"/>
        </w:rPr>
        <w:tab/>
      </w:r>
      <w:r w:rsidRPr="00A350E1">
        <w:rPr>
          <w:rStyle w:val="Heading21"/>
          <w:rFonts w:ascii="GHEA Grapalat" w:hAnsi="GHEA Grapalat"/>
          <w:b/>
          <w:sz w:val="24"/>
          <w:szCs w:val="24"/>
        </w:rPr>
        <w:t>Իրականացման մեթոդը</w:t>
      </w:r>
    </w:p>
    <w:p w:rsidR="00C15D0A" w:rsidRDefault="001A58C9" w:rsidP="00C1754D">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Հայաստանի համար նախատեսված աջակցությունը պետք է համապատասխանի ԵՄԳՊ</w:t>
      </w:r>
      <w:r w:rsidR="00617988">
        <w:rPr>
          <w:rStyle w:val="Bodytext26"/>
          <w:rFonts w:ascii="GHEA Grapalat" w:hAnsi="GHEA Grapalat"/>
          <w:sz w:val="24"/>
          <w:szCs w:val="24"/>
        </w:rPr>
        <w:t>-</w:t>
      </w:r>
      <w:r w:rsidRPr="00A350E1">
        <w:rPr>
          <w:rStyle w:val="Bodytext26"/>
          <w:rFonts w:ascii="GHEA Grapalat" w:hAnsi="GHEA Grapalat"/>
          <w:sz w:val="24"/>
          <w:szCs w:val="24"/>
        </w:rPr>
        <w:t xml:space="preserve">ի 215-րդ հոդվածի համաձայն ընդունված սահմանափակող միջոցներով սահմանված պայմաններին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ընթացակարգերին</w:t>
      </w:r>
      <w:r w:rsidRPr="00A350E1">
        <w:rPr>
          <w:rStyle w:val="FootnoteReference"/>
          <w:rFonts w:ascii="GHEA Grapalat" w:hAnsi="GHEA Grapalat"/>
          <w:sz w:val="24"/>
          <w:szCs w:val="24"/>
        </w:rPr>
        <w:footnoteReference w:id="1"/>
      </w:r>
      <w:r w:rsidR="00F87F84" w:rsidRPr="00A350E1">
        <w:rPr>
          <w:rStyle w:val="Bodytext26"/>
          <w:rFonts w:ascii="GHEA Grapalat" w:hAnsi="GHEA Grapalat"/>
          <w:sz w:val="24"/>
          <w:szCs w:val="24"/>
        </w:rPr>
        <w:t>:</w:t>
      </w:r>
    </w:p>
    <w:p w:rsidR="00C1754D" w:rsidRPr="00A350E1" w:rsidRDefault="00C1754D" w:rsidP="00C1754D">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C1754D">
      <w:pPr>
        <w:pStyle w:val="Bodytext60"/>
        <w:shd w:val="clear" w:color="auto" w:fill="auto"/>
        <w:tabs>
          <w:tab w:val="left" w:pos="1276"/>
        </w:tabs>
        <w:spacing w:before="0" w:after="160" w:line="360" w:lineRule="auto"/>
        <w:ind w:right="-1" w:firstLine="567"/>
        <w:rPr>
          <w:rFonts w:ascii="GHEA Grapalat" w:hAnsi="GHEA Grapalat" w:cs="Sylfaen"/>
          <w:sz w:val="24"/>
          <w:szCs w:val="24"/>
        </w:rPr>
      </w:pPr>
      <w:r w:rsidRPr="00A350E1">
        <w:rPr>
          <w:rStyle w:val="Bodytext61"/>
          <w:rFonts w:ascii="GHEA Grapalat" w:hAnsi="GHEA Grapalat"/>
          <w:b/>
          <w:i/>
          <w:sz w:val="24"/>
          <w:szCs w:val="24"/>
        </w:rPr>
        <w:lastRenderedPageBreak/>
        <w:t>2.1.1</w:t>
      </w:r>
      <w:r w:rsidR="006024E9" w:rsidRPr="00A350E1">
        <w:rPr>
          <w:rStyle w:val="Bodytext61"/>
          <w:rFonts w:ascii="GHEA Grapalat" w:hAnsi="GHEA Grapalat"/>
          <w:b/>
          <w:i/>
          <w:sz w:val="24"/>
          <w:szCs w:val="24"/>
        </w:rPr>
        <w:t>.</w:t>
      </w:r>
      <w:r w:rsidR="00C1754D">
        <w:rPr>
          <w:rStyle w:val="Bodytext61"/>
          <w:rFonts w:ascii="GHEA Grapalat" w:hAnsi="GHEA Grapalat"/>
          <w:b/>
          <w:i/>
          <w:sz w:val="24"/>
          <w:szCs w:val="24"/>
        </w:rPr>
        <w:tab/>
      </w:r>
      <w:r w:rsidRPr="00A350E1">
        <w:rPr>
          <w:rStyle w:val="Bodytext61"/>
          <w:rFonts w:ascii="GHEA Grapalat" w:hAnsi="GHEA Grapalat"/>
          <w:b/>
          <w:i/>
          <w:sz w:val="24"/>
          <w:szCs w:val="24"/>
        </w:rPr>
        <w:t xml:space="preserve">Դրամաշնորհներ. թվինինգ ծրագրերի համար առավելագույնը 5 հայտամրցույթ (ուղղակի կառավարում) </w:t>
      </w:r>
    </w:p>
    <w:p w:rsidR="00C15D0A" w:rsidRPr="00A350E1" w:rsidRDefault="001A58C9" w:rsidP="00C1754D">
      <w:pPr>
        <w:pStyle w:val="Bodytext20"/>
        <w:shd w:val="clear" w:color="auto" w:fill="auto"/>
        <w:tabs>
          <w:tab w:val="left" w:pos="993"/>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ա)</w:t>
      </w:r>
      <w:r w:rsidR="00C1754D">
        <w:rPr>
          <w:rFonts w:ascii="GHEA Grapalat" w:hAnsi="GHEA Grapalat"/>
          <w:sz w:val="24"/>
          <w:szCs w:val="24"/>
        </w:rPr>
        <w:tab/>
      </w:r>
      <w:r w:rsidRPr="00A350E1">
        <w:rPr>
          <w:rStyle w:val="Bodytext26"/>
          <w:rFonts w:ascii="GHEA Grapalat" w:hAnsi="GHEA Grapalat"/>
          <w:sz w:val="24"/>
          <w:szCs w:val="24"/>
        </w:rPr>
        <w:t>Դրամաշնորհների նպատակները, միջամտության ոլորտները, տարվա առաջնահերթությունները եւ ակնկալվող արդյունքները</w:t>
      </w:r>
    </w:p>
    <w:p w:rsidR="00C15D0A" w:rsidRDefault="001A58C9" w:rsidP="00C1754D">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Հայաստանի կառավարության պատասխանատվության մակարդակը բարձրացնելու նպատակով հայտամրցույթների միջոցով Թվինինգ ծրագրի մոդելը կօգտագ</w:t>
      </w:r>
      <w:r w:rsidR="00333214">
        <w:rPr>
          <w:rStyle w:val="Bodytext26"/>
          <w:rFonts w:ascii="GHEA Grapalat" w:hAnsi="GHEA Grapalat"/>
          <w:sz w:val="24"/>
          <w:szCs w:val="24"/>
        </w:rPr>
        <w:t>ո</w:t>
      </w:r>
      <w:r w:rsidRPr="00A350E1">
        <w:rPr>
          <w:rStyle w:val="Bodytext26"/>
          <w:rFonts w:ascii="GHEA Grapalat" w:hAnsi="GHEA Grapalat"/>
          <w:sz w:val="24"/>
          <w:szCs w:val="24"/>
        </w:rPr>
        <w:t xml:space="preserve">րծվի առավելագույնը 5 գործողության համար։ 1.1 բաժնում սահմանված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Հայաստանի</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իշխանությունների հետ համաձայնեցված նպատակներին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արդյունքներին համապատասխան ոլորտներին աջակցելուց բացի</w:t>
      </w:r>
      <w:r w:rsidR="00F87F84" w:rsidRPr="00A350E1">
        <w:rPr>
          <w:rStyle w:val="Bodytext26"/>
          <w:rFonts w:ascii="GHEA Grapalat" w:hAnsi="GHEA Grapalat"/>
          <w:sz w:val="24"/>
          <w:szCs w:val="24"/>
        </w:rPr>
        <w:t>՝</w:t>
      </w:r>
      <w:r w:rsidRPr="00A350E1">
        <w:rPr>
          <w:rStyle w:val="Bodytext26"/>
          <w:rFonts w:ascii="GHEA Grapalat" w:hAnsi="GHEA Grapalat"/>
          <w:sz w:val="24"/>
          <w:szCs w:val="24"/>
        </w:rPr>
        <w:t xml:space="preserve"> կարող է դիտարկվել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պետական մարմիններին, ինչպես օրինակ՝ Կրթության ազգային ինստիտուտին, Մարդու իրավունքների պաշտպանի գրասենյակին, Տվյալների պաշտպանության մարմնին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Քրեակատարողական/պրոբացիոն ծառայությունների համապատասխան մարմիններին հատուկ աջակցություն տրամադրելու հարցը՝ Համապարփակ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ընդլայնված համագործակցության համաձայնագրի ու Հայաստանի հետ գործընկերության առաջնահերթությունների իրականացումն ապահովելու համար։</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բ)</w:t>
      </w:r>
      <w:r w:rsidR="00C1754D">
        <w:rPr>
          <w:rFonts w:ascii="GHEA Grapalat" w:hAnsi="GHEA Grapalat"/>
          <w:sz w:val="24"/>
          <w:szCs w:val="24"/>
        </w:rPr>
        <w:tab/>
      </w:r>
      <w:r w:rsidRPr="00A350E1">
        <w:rPr>
          <w:rStyle w:val="Bodytext26"/>
          <w:rFonts w:ascii="GHEA Grapalat" w:hAnsi="GHEA Grapalat"/>
          <w:sz w:val="24"/>
          <w:szCs w:val="24"/>
        </w:rPr>
        <w:t>Համապատասխանության</w:t>
      </w:r>
      <w:r w:rsidR="00E142CE" w:rsidRPr="00A350E1">
        <w:rPr>
          <w:rStyle w:val="Bodytext26"/>
          <w:rFonts w:ascii="GHEA Grapalat" w:hAnsi="GHEA Grapalat"/>
          <w:sz w:val="24"/>
          <w:szCs w:val="24"/>
        </w:rPr>
        <w:t xml:space="preserve"> ապահովման համար</w:t>
      </w:r>
      <w:r w:rsidRPr="00A350E1">
        <w:rPr>
          <w:rStyle w:val="Bodytext26"/>
          <w:rFonts w:ascii="GHEA Grapalat" w:hAnsi="GHEA Grapalat"/>
          <w:sz w:val="24"/>
          <w:szCs w:val="24"/>
        </w:rPr>
        <w:t xml:space="preserve"> պայմանները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Թիվ 236/2014 կանոնակարգի (ԵՄ) 4-րդ հոդվածի 10-րդ մասի «բ» կետի համաձայն՝ մասնակցությունը թվինինգ հայտամրցույթներին </w:t>
      </w:r>
      <w:r w:rsidR="00E142CE" w:rsidRPr="00A350E1">
        <w:rPr>
          <w:rStyle w:val="Bodytext26"/>
          <w:rFonts w:ascii="GHEA Grapalat" w:hAnsi="GHEA Grapalat"/>
          <w:sz w:val="24"/>
          <w:szCs w:val="24"/>
        </w:rPr>
        <w:t>վերապահ</w:t>
      </w:r>
      <w:r w:rsidRPr="00A350E1">
        <w:rPr>
          <w:rStyle w:val="Bodytext26"/>
          <w:rFonts w:ascii="GHEA Grapalat" w:hAnsi="GHEA Grapalat"/>
          <w:sz w:val="24"/>
          <w:szCs w:val="24"/>
        </w:rPr>
        <w:t>վում է ԵՄ անդամ պետությունների պետական կառավարմա</w:t>
      </w:r>
      <w:r w:rsidR="00E142CE" w:rsidRPr="00A350E1">
        <w:rPr>
          <w:rStyle w:val="Bodytext26"/>
          <w:rFonts w:ascii="GHEA Grapalat" w:hAnsi="GHEA Grapalat"/>
          <w:sz w:val="24"/>
          <w:szCs w:val="24"/>
        </w:rPr>
        <w:t>ն մարմիններին</w:t>
      </w:r>
      <w:r w:rsidRPr="00A350E1">
        <w:rPr>
          <w:rStyle w:val="Bodytext26"/>
          <w:rFonts w:ascii="GHEA Grapalat" w:hAnsi="GHEA Grapalat"/>
          <w:sz w:val="24"/>
          <w:szCs w:val="24"/>
        </w:rPr>
        <w:t>, որը ենթադրում է անդամ պետության կենտրոնական կամ մարզային իշխանությունները,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վերջիններիս մարմինները, վարչական կառույցները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մասնավոր </w:t>
      </w:r>
      <w:r w:rsidR="00E142CE" w:rsidRPr="00A350E1">
        <w:rPr>
          <w:rStyle w:val="Bodytext26"/>
          <w:rFonts w:ascii="GHEA Grapalat" w:hAnsi="GHEA Grapalat"/>
          <w:sz w:val="24"/>
          <w:szCs w:val="24"/>
        </w:rPr>
        <w:t xml:space="preserve">ոլորտի </w:t>
      </w:r>
      <w:r w:rsidRPr="00A350E1">
        <w:rPr>
          <w:rStyle w:val="Bodytext26"/>
          <w:rFonts w:ascii="GHEA Grapalat" w:hAnsi="GHEA Grapalat"/>
          <w:sz w:val="24"/>
          <w:szCs w:val="24"/>
        </w:rPr>
        <w:t>մարմինները, որոնց վերապահված է հանրային ծառայության գործառույթ՝ իրենց վերահսկողության ներքո՝ պայմանով, որ նրանք գործում են</w:t>
      </w:r>
      <w:r w:rsidR="003D09C2" w:rsidRPr="00A350E1">
        <w:rPr>
          <w:rStyle w:val="Bodytext26"/>
          <w:rFonts w:ascii="GHEA Grapalat" w:hAnsi="GHEA Grapalat"/>
          <w:sz w:val="24"/>
          <w:szCs w:val="24"/>
        </w:rPr>
        <w:t>՝</w:t>
      </w:r>
      <w:r w:rsidRPr="00A350E1">
        <w:rPr>
          <w:rStyle w:val="Bodytext26"/>
          <w:rFonts w:ascii="GHEA Grapalat" w:hAnsi="GHEA Grapalat"/>
          <w:sz w:val="24"/>
          <w:szCs w:val="24"/>
        </w:rPr>
        <w:t xml:space="preserve"> հաշվետու լինելով այդ անդամ պետությանը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դրա պատասխանատվության ներքո։</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lastRenderedPageBreak/>
        <w:t>գ)</w:t>
      </w:r>
      <w:r w:rsidR="00C1754D">
        <w:rPr>
          <w:rFonts w:ascii="GHEA Grapalat" w:hAnsi="GHEA Grapalat"/>
          <w:sz w:val="24"/>
          <w:szCs w:val="24"/>
        </w:rPr>
        <w:tab/>
      </w:r>
      <w:r w:rsidRPr="00A350E1">
        <w:rPr>
          <w:rStyle w:val="Bodytext26"/>
          <w:rFonts w:ascii="GHEA Grapalat" w:hAnsi="GHEA Grapalat"/>
          <w:sz w:val="24"/>
          <w:szCs w:val="24"/>
        </w:rPr>
        <w:t>Ընտրության եւ տրամադրման հիմնական չափ</w:t>
      </w:r>
      <w:r w:rsidR="00E142CE" w:rsidRPr="00A350E1">
        <w:rPr>
          <w:rStyle w:val="Bodytext26"/>
          <w:rFonts w:ascii="GHEA Grapalat" w:hAnsi="GHEA Grapalat"/>
          <w:sz w:val="24"/>
          <w:szCs w:val="24"/>
        </w:rPr>
        <w:t>անիշ</w:t>
      </w:r>
      <w:r w:rsidRPr="00A350E1">
        <w:rPr>
          <w:rStyle w:val="Bodytext26"/>
          <w:rFonts w:ascii="GHEA Grapalat" w:hAnsi="GHEA Grapalat"/>
          <w:sz w:val="24"/>
          <w:szCs w:val="24"/>
        </w:rPr>
        <w:t>ները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Ընտրության հիմնական չափանիշն է դիմողի գործառական կարողությունը: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Տրամադրման կարեւորագույն չափ</w:t>
      </w:r>
      <w:r w:rsidR="00E142CE" w:rsidRPr="00A350E1">
        <w:rPr>
          <w:rStyle w:val="Bodytext26"/>
          <w:rFonts w:ascii="GHEA Grapalat" w:hAnsi="GHEA Grapalat"/>
          <w:sz w:val="24"/>
          <w:szCs w:val="24"/>
        </w:rPr>
        <w:t>անի</w:t>
      </w:r>
      <w:r w:rsidRPr="00A350E1">
        <w:rPr>
          <w:rStyle w:val="Bodytext26"/>
          <w:rFonts w:ascii="GHEA Grapalat" w:hAnsi="GHEA Grapalat"/>
          <w:sz w:val="24"/>
          <w:szCs w:val="24"/>
        </w:rPr>
        <w:t xml:space="preserve">շներն են դիմողի տեխնիկական գիտելիքները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առաջարկվող գործողության համապատասխանությունը, մեթոդաբանությունը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կայունությունը։</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դ)</w:t>
      </w:r>
      <w:r w:rsidR="00C1754D">
        <w:rPr>
          <w:rFonts w:ascii="GHEA Grapalat" w:hAnsi="GHEA Grapalat"/>
          <w:sz w:val="24"/>
          <w:szCs w:val="24"/>
        </w:rPr>
        <w:tab/>
      </w:r>
      <w:r w:rsidRPr="00A350E1">
        <w:rPr>
          <w:rStyle w:val="Bodytext26"/>
          <w:rFonts w:ascii="GHEA Grapalat" w:hAnsi="GHEA Grapalat"/>
          <w:sz w:val="24"/>
          <w:szCs w:val="24"/>
        </w:rPr>
        <w:t>Համաֆինանսավորման առավելագույն չափը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Թվինինգ դրամաշնորհի պայմանագրերի համար համաֆինանսավորման չափը կազմում է 100%</w:t>
      </w:r>
      <w:r w:rsidRPr="00A350E1">
        <w:rPr>
          <w:rStyle w:val="FootnoteReference"/>
          <w:rFonts w:ascii="GHEA Grapalat" w:hAnsi="GHEA Grapalat"/>
          <w:sz w:val="24"/>
          <w:szCs w:val="24"/>
        </w:rPr>
        <w:footnoteReference w:id="2"/>
      </w:r>
      <w:r w:rsidRPr="00A350E1">
        <w:rPr>
          <w:rStyle w:val="Bodytext26"/>
          <w:rFonts w:ascii="GHEA Grapalat" w:hAnsi="GHEA Grapalat"/>
          <w:sz w:val="24"/>
          <w:szCs w:val="24"/>
        </w:rPr>
        <w:t>։</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ե)</w:t>
      </w:r>
      <w:r w:rsidR="00C1754D">
        <w:rPr>
          <w:rFonts w:ascii="GHEA Grapalat" w:hAnsi="GHEA Grapalat"/>
          <w:sz w:val="24"/>
          <w:szCs w:val="24"/>
        </w:rPr>
        <w:tab/>
      </w:r>
      <w:r w:rsidRPr="00A350E1">
        <w:rPr>
          <w:rStyle w:val="Bodytext26"/>
          <w:rFonts w:ascii="GHEA Grapalat" w:hAnsi="GHEA Grapalat"/>
          <w:sz w:val="24"/>
          <w:szCs w:val="24"/>
        </w:rPr>
        <w:t>Հայտամրցույթի (հայտամրցույթների) մեկնարկի նախանշված ժամկետները</w:t>
      </w:r>
      <w:r w:rsidR="003D09C2" w:rsidRPr="00A350E1">
        <w:rPr>
          <w:rStyle w:val="Bodytext26"/>
          <w:rFonts w:ascii="GHEA Grapalat" w:hAnsi="GHEA Grapalat"/>
          <w:sz w:val="24"/>
          <w:szCs w:val="24"/>
        </w:rPr>
        <w:t>.</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2018 թվականի առաջին եռամսյակ։</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զ)</w:t>
      </w:r>
      <w:r w:rsidR="00C1754D">
        <w:rPr>
          <w:rFonts w:ascii="GHEA Grapalat" w:hAnsi="GHEA Grapalat"/>
          <w:sz w:val="24"/>
          <w:szCs w:val="24"/>
        </w:rPr>
        <w:tab/>
      </w:r>
      <w:r w:rsidRPr="00A350E1">
        <w:rPr>
          <w:rStyle w:val="Bodytext26"/>
          <w:rFonts w:ascii="GHEA Grapalat" w:hAnsi="GHEA Grapalat"/>
          <w:sz w:val="24"/>
          <w:szCs w:val="24"/>
        </w:rPr>
        <w:t>Միանվագ գումարների, հաստատուն դրույքաչափերի,</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միավոր արժեքի օգտագործումը</w:t>
      </w:r>
    </w:p>
    <w:p w:rsidR="00C15D0A" w:rsidRDefault="001A58C9" w:rsidP="00C1754D">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Թվինինգ պայմանագրերը ներառում են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Թվինինգ ձեռնարկով սահմանված՝ </w:t>
      </w:r>
      <w:r w:rsidR="00E142CE" w:rsidRPr="00A350E1">
        <w:rPr>
          <w:rStyle w:val="Bodytext26"/>
          <w:rFonts w:ascii="GHEA Grapalat" w:hAnsi="GHEA Grapalat"/>
          <w:sz w:val="24"/>
          <w:szCs w:val="24"/>
        </w:rPr>
        <w:t xml:space="preserve">ըստ </w:t>
      </w:r>
      <w:r w:rsidRPr="00A350E1">
        <w:rPr>
          <w:rStyle w:val="Bodytext26"/>
          <w:rFonts w:ascii="GHEA Grapalat" w:hAnsi="GHEA Grapalat"/>
          <w:sz w:val="24"/>
          <w:szCs w:val="24"/>
        </w:rPr>
        <w:t xml:space="preserve">միավոր արժեքի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հաստատված տոկոսադրույքով ֆինանսավորման համակարգ՝ ընտրված անդամ պետությունների վարչական մարմինների կողմից տրամադրված պետական հատվածի փորձաքննության հետ կապված ծախսերը փոխհատուցելու համար։ Թվինինգ պայմանագրի յուրաքանչյուր շահառուի </w:t>
      </w:r>
      <w:r w:rsidRPr="00C1754D">
        <w:rPr>
          <w:rStyle w:val="Bodytext26"/>
          <w:rFonts w:ascii="GHEA Grapalat" w:hAnsi="GHEA Grapalat"/>
          <w:spacing w:val="-4"/>
          <w:sz w:val="24"/>
          <w:szCs w:val="24"/>
        </w:rPr>
        <w:t xml:space="preserve">համար 60 000 եվրոն գերազանցող՝ </w:t>
      </w:r>
      <w:r w:rsidR="00957F2A" w:rsidRPr="00C1754D">
        <w:rPr>
          <w:rStyle w:val="Bodytext26"/>
          <w:rFonts w:ascii="GHEA Grapalat" w:hAnsi="GHEA Grapalat"/>
          <w:spacing w:val="-4"/>
          <w:sz w:val="24"/>
          <w:szCs w:val="24"/>
        </w:rPr>
        <w:t>ըս</w:t>
      </w:r>
      <w:r w:rsidR="00E142CE" w:rsidRPr="00C1754D">
        <w:rPr>
          <w:rStyle w:val="Bodytext26"/>
          <w:rFonts w:ascii="GHEA Grapalat" w:hAnsi="GHEA Grapalat"/>
          <w:spacing w:val="-4"/>
          <w:sz w:val="24"/>
          <w:szCs w:val="24"/>
        </w:rPr>
        <w:t xml:space="preserve">տ </w:t>
      </w:r>
      <w:r w:rsidRPr="00C1754D">
        <w:rPr>
          <w:rStyle w:val="Bodytext26"/>
          <w:rFonts w:ascii="GHEA Grapalat" w:hAnsi="GHEA Grapalat"/>
          <w:spacing w:val="-4"/>
          <w:sz w:val="24"/>
          <w:szCs w:val="24"/>
        </w:rPr>
        <w:t xml:space="preserve">միավոր արժեքի </w:t>
      </w:r>
      <w:r w:rsidR="001118B9" w:rsidRPr="00C1754D">
        <w:rPr>
          <w:rStyle w:val="Bodytext26"/>
          <w:rFonts w:ascii="GHEA Grapalat" w:hAnsi="GHEA Grapalat"/>
          <w:spacing w:val="-4"/>
          <w:sz w:val="24"/>
          <w:szCs w:val="24"/>
        </w:rPr>
        <w:t>եւ</w:t>
      </w:r>
      <w:r w:rsidRPr="00C1754D">
        <w:rPr>
          <w:rStyle w:val="Bodytext26"/>
          <w:rFonts w:ascii="GHEA Grapalat" w:hAnsi="GHEA Grapalat"/>
          <w:spacing w:val="-4"/>
          <w:sz w:val="24"/>
          <w:szCs w:val="24"/>
        </w:rPr>
        <w:t xml:space="preserve"> հաստատված տոկոսադրույքով ֆինանսավորման այս համակարգի օգտագործումը ենթադրում</w:t>
      </w:r>
      <w:r w:rsidRPr="00A350E1">
        <w:rPr>
          <w:rStyle w:val="Bodytext26"/>
          <w:rFonts w:ascii="GHEA Grapalat" w:hAnsi="GHEA Grapalat"/>
          <w:sz w:val="24"/>
          <w:szCs w:val="24"/>
        </w:rPr>
        <w:t xml:space="preserve"> է առանձին, Հանձնաժողովի հորիզոնական որոշման ընդունում։</w:t>
      </w:r>
    </w:p>
    <w:p w:rsidR="002139E2" w:rsidRDefault="002139E2">
      <w:pPr>
        <w:rPr>
          <w:rFonts w:ascii="GHEA Grapalat" w:eastAsia="Times New Roman" w:hAnsi="GHEA Grapalat" w:cs="Sylfaen"/>
        </w:rPr>
      </w:pPr>
      <w:r>
        <w:rPr>
          <w:rFonts w:ascii="GHEA Grapalat" w:hAnsi="GHEA Grapalat" w:cs="Sylfaen"/>
        </w:rPr>
        <w:br w:type="page"/>
      </w:r>
    </w:p>
    <w:p w:rsidR="00C15D0A" w:rsidRPr="00A350E1" w:rsidRDefault="001A58C9" w:rsidP="002139E2">
      <w:pPr>
        <w:pStyle w:val="Bodytext60"/>
        <w:shd w:val="clear" w:color="auto" w:fill="auto"/>
        <w:tabs>
          <w:tab w:val="left" w:pos="1134"/>
        </w:tabs>
        <w:spacing w:before="0" w:after="160" w:line="360" w:lineRule="auto"/>
        <w:ind w:right="-1" w:firstLine="567"/>
        <w:jc w:val="left"/>
        <w:rPr>
          <w:rFonts w:ascii="GHEA Grapalat" w:hAnsi="GHEA Grapalat" w:cs="Sylfaen"/>
          <w:sz w:val="24"/>
          <w:szCs w:val="24"/>
        </w:rPr>
      </w:pPr>
      <w:r w:rsidRPr="00A350E1">
        <w:rPr>
          <w:rStyle w:val="Bodytext61"/>
          <w:rFonts w:ascii="GHEA Grapalat" w:hAnsi="GHEA Grapalat"/>
          <w:b/>
          <w:i/>
          <w:sz w:val="24"/>
          <w:szCs w:val="24"/>
        </w:rPr>
        <w:lastRenderedPageBreak/>
        <w:t>2.1.2.</w:t>
      </w:r>
      <w:r w:rsidR="00C1754D">
        <w:rPr>
          <w:rStyle w:val="Bodytext61"/>
          <w:rFonts w:ascii="GHEA Grapalat" w:hAnsi="GHEA Grapalat"/>
          <w:b/>
          <w:i/>
          <w:sz w:val="24"/>
          <w:szCs w:val="24"/>
        </w:rPr>
        <w:tab/>
      </w:r>
      <w:r w:rsidRPr="00A350E1">
        <w:rPr>
          <w:rStyle w:val="Bodytext61"/>
          <w:rFonts w:ascii="GHEA Grapalat" w:hAnsi="GHEA Grapalat"/>
          <w:b/>
          <w:i/>
          <w:sz w:val="24"/>
          <w:szCs w:val="24"/>
        </w:rPr>
        <w:t>Դրամաշնորհ` ուղղակի տրամադրում Համաշխարհային բանկին (ուղղակի կառավարում)</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ա)</w:t>
      </w:r>
      <w:r w:rsidR="00C1754D">
        <w:rPr>
          <w:rFonts w:ascii="GHEA Grapalat" w:hAnsi="GHEA Grapalat"/>
          <w:sz w:val="24"/>
          <w:szCs w:val="24"/>
        </w:rPr>
        <w:tab/>
      </w:r>
      <w:r w:rsidRPr="00A350E1">
        <w:rPr>
          <w:rStyle w:val="Bodytext26"/>
          <w:rFonts w:ascii="GHEA Grapalat" w:hAnsi="GHEA Grapalat"/>
          <w:sz w:val="24"/>
          <w:szCs w:val="24"/>
        </w:rPr>
        <w:t xml:space="preserve">Դրամաշնորհի նպատակները, միջամտության ոլորտները, տարվա առաջնահերթությունները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ակնկալվող արդյունքները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2139E2">
        <w:rPr>
          <w:rStyle w:val="Bodytext26"/>
          <w:rFonts w:ascii="GHEA Grapalat" w:hAnsi="GHEA Grapalat"/>
          <w:spacing w:val="4"/>
          <w:sz w:val="24"/>
          <w:szCs w:val="24"/>
        </w:rPr>
        <w:t>Համաձայն 1.2 բաժնի՝ Համաշխարհային բանկ</w:t>
      </w:r>
      <w:r w:rsidR="006024E9" w:rsidRPr="002139E2">
        <w:rPr>
          <w:rStyle w:val="Bodytext26"/>
          <w:rFonts w:ascii="GHEA Grapalat" w:hAnsi="GHEA Grapalat"/>
          <w:spacing w:val="4"/>
          <w:sz w:val="24"/>
          <w:szCs w:val="24"/>
        </w:rPr>
        <w:t>ն</w:t>
      </w:r>
      <w:r w:rsidRPr="002139E2">
        <w:rPr>
          <w:rStyle w:val="Bodytext26"/>
          <w:rFonts w:ascii="GHEA Grapalat" w:hAnsi="GHEA Grapalat"/>
          <w:spacing w:val="4"/>
          <w:sz w:val="24"/>
          <w:szCs w:val="24"/>
        </w:rPr>
        <w:t xml:space="preserve"> ի սկզբանե </w:t>
      </w:r>
      <w:r w:rsidR="001118B9" w:rsidRPr="002139E2">
        <w:rPr>
          <w:rStyle w:val="Bodytext26"/>
          <w:rFonts w:ascii="GHEA Grapalat" w:hAnsi="GHEA Grapalat"/>
          <w:spacing w:val="4"/>
          <w:sz w:val="24"/>
          <w:szCs w:val="24"/>
        </w:rPr>
        <w:t>եւ</w:t>
      </w:r>
      <w:r w:rsidRPr="002139E2">
        <w:rPr>
          <w:rStyle w:val="Bodytext26"/>
          <w:rFonts w:ascii="GHEA Grapalat" w:hAnsi="GHEA Grapalat"/>
          <w:spacing w:val="4"/>
          <w:sz w:val="24"/>
          <w:szCs w:val="24"/>
        </w:rPr>
        <w:t xml:space="preserve"> նախանշված ձ</w:t>
      </w:r>
      <w:r w:rsidR="001118B9" w:rsidRPr="002139E2">
        <w:rPr>
          <w:rStyle w:val="Bodytext26"/>
          <w:rFonts w:ascii="GHEA Grapalat" w:hAnsi="GHEA Grapalat"/>
          <w:spacing w:val="4"/>
          <w:sz w:val="24"/>
          <w:szCs w:val="24"/>
        </w:rPr>
        <w:t>եւ</w:t>
      </w:r>
      <w:r w:rsidRPr="002139E2">
        <w:rPr>
          <w:rStyle w:val="Bodytext26"/>
          <w:rFonts w:ascii="GHEA Grapalat" w:hAnsi="GHEA Grapalat"/>
          <w:spacing w:val="4"/>
          <w:sz w:val="24"/>
          <w:szCs w:val="24"/>
        </w:rPr>
        <w:t xml:space="preserve">ով կներառի 1-ին բաղադրիչի 1-ին գործողությունը, 2-րդ բաղադրիչի 1-ին </w:t>
      </w:r>
      <w:r w:rsidR="001118B9" w:rsidRPr="002139E2">
        <w:rPr>
          <w:rStyle w:val="Bodytext26"/>
          <w:rFonts w:ascii="GHEA Grapalat" w:hAnsi="GHEA Grapalat"/>
          <w:spacing w:val="4"/>
          <w:sz w:val="24"/>
          <w:szCs w:val="24"/>
        </w:rPr>
        <w:t>եւ</w:t>
      </w:r>
      <w:r w:rsidRPr="00A350E1">
        <w:rPr>
          <w:rStyle w:val="Bodytext26"/>
          <w:rFonts w:ascii="GHEA Grapalat" w:hAnsi="GHEA Grapalat"/>
          <w:sz w:val="24"/>
          <w:szCs w:val="24"/>
        </w:rPr>
        <w:t xml:space="preserve"> 4-րդ գործողությունները,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4-րդ բաղադրիչի 2-րդ գործողությունը։</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բ)</w:t>
      </w:r>
      <w:r w:rsidR="00C1754D">
        <w:rPr>
          <w:rFonts w:ascii="GHEA Grapalat" w:hAnsi="GHEA Grapalat"/>
          <w:sz w:val="24"/>
          <w:szCs w:val="24"/>
        </w:rPr>
        <w:tab/>
      </w:r>
      <w:r w:rsidRPr="00A350E1">
        <w:rPr>
          <w:rStyle w:val="Bodytext26"/>
          <w:rFonts w:ascii="GHEA Grapalat" w:hAnsi="GHEA Grapalat"/>
          <w:sz w:val="24"/>
          <w:szCs w:val="24"/>
        </w:rPr>
        <w:t>Ուղղակի դրամաշնորհի հիմնավորումը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Հանձնաժողովի լիազոր պատասխանատու պաշտոնյայի պատասխանատվության ներքո</w:t>
      </w:r>
      <w:r w:rsidR="006024E9" w:rsidRPr="00A350E1">
        <w:rPr>
          <w:rStyle w:val="Bodytext26"/>
          <w:rFonts w:ascii="GHEA Grapalat" w:hAnsi="GHEA Grapalat"/>
          <w:sz w:val="24"/>
          <w:szCs w:val="24"/>
        </w:rPr>
        <w:t>՝</w:t>
      </w:r>
      <w:r w:rsidRPr="00A350E1">
        <w:rPr>
          <w:rStyle w:val="Bodytext26"/>
          <w:rFonts w:ascii="GHEA Grapalat" w:hAnsi="GHEA Grapalat"/>
          <w:sz w:val="24"/>
          <w:szCs w:val="24"/>
        </w:rPr>
        <w:t xml:space="preserve"> դրամաշնորհը կարող է տրամադրվել առանց Համաշխարհային բանկին հայտամրցույթ ներկայացնելու:</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Հանձնաժողովի լիազոր պատասխանատու պաշտոնյայի պատասխանատվության ներքո</w:t>
      </w:r>
      <w:r w:rsidR="006024E9" w:rsidRPr="00A350E1">
        <w:rPr>
          <w:rStyle w:val="Bodytext26"/>
          <w:rFonts w:ascii="GHEA Grapalat" w:hAnsi="GHEA Grapalat"/>
          <w:sz w:val="24"/>
          <w:szCs w:val="24"/>
        </w:rPr>
        <w:t>՝</w:t>
      </w:r>
      <w:r w:rsidRPr="00A350E1">
        <w:rPr>
          <w:rStyle w:val="Bodytext26"/>
          <w:rFonts w:ascii="GHEA Grapalat" w:hAnsi="GHEA Grapalat"/>
          <w:sz w:val="24"/>
          <w:szCs w:val="24"/>
        </w:rPr>
        <w:t xml:space="preserve"> դրամաշնորհի տրամադրման համար առանց հայտամրցույթի դիմելը հիմնավորված է, քանի որ այս գործողությունն ունի հատուկ բնութագրեր, որո</w:t>
      </w:r>
      <w:r w:rsidR="00E142CE" w:rsidRPr="00A350E1">
        <w:rPr>
          <w:rStyle w:val="Bodytext26"/>
          <w:rFonts w:ascii="GHEA Grapalat" w:hAnsi="GHEA Grapalat"/>
          <w:sz w:val="24"/>
          <w:szCs w:val="24"/>
        </w:rPr>
        <w:t>նցով</w:t>
      </w:r>
      <w:r w:rsidRPr="00A350E1">
        <w:rPr>
          <w:rStyle w:val="Bodytext26"/>
          <w:rFonts w:ascii="GHEA Grapalat" w:hAnsi="GHEA Grapalat"/>
          <w:sz w:val="24"/>
          <w:szCs w:val="24"/>
        </w:rPr>
        <w:t xml:space="preserve"> տեխնիկական</w:t>
      </w:r>
      <w:r w:rsidR="00E142CE" w:rsidRPr="00A350E1">
        <w:rPr>
          <w:rStyle w:val="Bodytext26"/>
          <w:rFonts w:ascii="GHEA Grapalat" w:hAnsi="GHEA Grapalat"/>
          <w:sz w:val="24"/>
          <w:szCs w:val="24"/>
        </w:rPr>
        <w:t xml:space="preserve"> առումով համապատասխան</w:t>
      </w:r>
      <w:r w:rsidRPr="00A350E1">
        <w:rPr>
          <w:rStyle w:val="Bodytext26"/>
          <w:rFonts w:ascii="GHEA Grapalat" w:hAnsi="GHEA Grapalat"/>
          <w:sz w:val="24"/>
          <w:szCs w:val="24"/>
        </w:rPr>
        <w:t xml:space="preserve">ության համար պահանջում </w:t>
      </w:r>
      <w:r w:rsidR="006024E9" w:rsidRPr="00A350E1">
        <w:rPr>
          <w:rStyle w:val="Bodytext26"/>
          <w:rFonts w:ascii="GHEA Grapalat" w:hAnsi="GHEA Grapalat"/>
          <w:sz w:val="24"/>
          <w:szCs w:val="24"/>
        </w:rPr>
        <w:t>են</w:t>
      </w:r>
      <w:r w:rsidR="00F95E1E"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շահառուի հատուկ տեսակ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մասնագիտացում` 190-րդ հոդվածի 1-ին մասի «զ» ենթակետին (Կիրառման կանոններ) համապատասխան։ Համաշխարհային բանկը Հայաստանում համարվում է առաջատար միջազգային կազմակերպություն, որն ունի մեծ փորձ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վստահության մանդատ։ Համաշխարհային բանկի</w:t>
      </w:r>
      <w:r w:rsidR="00E142CE" w:rsidRPr="00A350E1">
        <w:rPr>
          <w:rStyle w:val="Bodytext26"/>
          <w:rFonts w:ascii="GHEA Grapalat" w:hAnsi="GHEA Grapalat"/>
          <w:sz w:val="24"/>
          <w:szCs w:val="24"/>
        </w:rPr>
        <w:t>՝</w:t>
      </w:r>
      <w:r w:rsidRPr="00A350E1">
        <w:rPr>
          <w:rStyle w:val="Bodytext26"/>
          <w:rFonts w:ascii="GHEA Grapalat" w:hAnsi="GHEA Grapalat"/>
          <w:sz w:val="24"/>
          <w:szCs w:val="24"/>
        </w:rPr>
        <w:t xml:space="preserve"> Հայաստանի գծով ռազմավարությամբ սահմանվում է հանձնառություն՝ օժանդակելու առանցքային ոլորտներում բարեփոխումներին, որոնք անհրաժեշտ են երկրի մրցունակությունը վերականգնելու, մակրոտնտեսական կայունությունը պահպանելու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աճը խթանելու համար։ Այդպիսի ռազմավարական նպատակները, հանձնառություններն ու երկրի գերակայություններին </w:t>
      </w:r>
      <w:r w:rsidR="00E142CE" w:rsidRPr="00A350E1">
        <w:rPr>
          <w:rStyle w:val="Bodytext26"/>
          <w:rFonts w:ascii="GHEA Grapalat" w:hAnsi="GHEA Grapalat"/>
          <w:sz w:val="24"/>
          <w:szCs w:val="24"/>
        </w:rPr>
        <w:t>մասնակցությունը</w:t>
      </w:r>
      <w:r w:rsidR="00AE1F0F" w:rsidRP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լիարժեքորեն համապատասխանում են այս Գործողության նպատակներին։ Փորձը ցույց է տալիս, որ գործունեությունը </w:t>
      </w:r>
      <w:r w:rsidRPr="00A350E1">
        <w:rPr>
          <w:rStyle w:val="Bodytext26"/>
          <w:rFonts w:ascii="GHEA Grapalat" w:hAnsi="GHEA Grapalat"/>
          <w:sz w:val="24"/>
          <w:szCs w:val="24"/>
        </w:rPr>
        <w:lastRenderedPageBreak/>
        <w:t xml:space="preserve">հարթ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արդյունավետ ձ</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ով է ընթանում այն ժամանակ, երբ Հայաստանի իշխանություններն աշխատում են այն դոնոր կազմակերպությունների հետ, որոնք երկրում իրենց գրասենյակն ունեն, հասկանում են երկրի առանձնահատկությունները,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որոնց այդ իշխանությունները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մասնագիտական,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կազմակերպչական տեսանկյունից «հուսալի» են համարում։</w:t>
      </w:r>
    </w:p>
    <w:p w:rsidR="00C15D0A" w:rsidRPr="00A350E1" w:rsidRDefault="001A58C9" w:rsidP="00C1754D">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դ)</w:t>
      </w:r>
      <w:r w:rsidR="00C1754D">
        <w:rPr>
          <w:rFonts w:ascii="GHEA Grapalat" w:hAnsi="GHEA Grapalat"/>
          <w:sz w:val="24"/>
          <w:szCs w:val="24"/>
        </w:rPr>
        <w:tab/>
      </w:r>
      <w:r w:rsidRPr="00A350E1">
        <w:rPr>
          <w:rStyle w:val="Bodytext26"/>
          <w:rFonts w:ascii="GHEA Grapalat" w:hAnsi="GHEA Grapalat"/>
          <w:sz w:val="24"/>
          <w:szCs w:val="24"/>
        </w:rPr>
        <w:t>Ընտրության եւ տրամադրման հիմնական չափ</w:t>
      </w:r>
      <w:r w:rsidR="00E142CE" w:rsidRPr="00A350E1">
        <w:rPr>
          <w:rStyle w:val="Bodytext26"/>
          <w:rFonts w:ascii="GHEA Grapalat" w:hAnsi="GHEA Grapalat"/>
          <w:sz w:val="24"/>
          <w:szCs w:val="24"/>
        </w:rPr>
        <w:t>անիշ</w:t>
      </w:r>
      <w:r w:rsidRPr="00A350E1">
        <w:rPr>
          <w:rStyle w:val="Bodytext26"/>
          <w:rFonts w:ascii="GHEA Grapalat" w:hAnsi="GHEA Grapalat"/>
          <w:sz w:val="24"/>
          <w:szCs w:val="24"/>
        </w:rPr>
        <w:t>ներ</w:t>
      </w:r>
      <w:r w:rsidR="00E142CE" w:rsidRPr="00A350E1">
        <w:rPr>
          <w:rStyle w:val="Bodytext26"/>
          <w:rFonts w:ascii="GHEA Grapalat" w:hAnsi="GHEA Grapalat"/>
          <w:sz w:val="24"/>
          <w:szCs w:val="24"/>
        </w:rPr>
        <w:t>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Ընտրության հիմնական չափ</w:t>
      </w:r>
      <w:r w:rsidR="00E142CE" w:rsidRPr="00A350E1">
        <w:rPr>
          <w:rStyle w:val="Bodytext26"/>
          <w:rFonts w:ascii="GHEA Grapalat" w:hAnsi="GHEA Grapalat"/>
          <w:sz w:val="24"/>
          <w:szCs w:val="24"/>
        </w:rPr>
        <w:t>անիշ</w:t>
      </w:r>
      <w:r w:rsidRPr="00A350E1">
        <w:rPr>
          <w:rStyle w:val="Bodytext26"/>
          <w:rFonts w:ascii="GHEA Grapalat" w:hAnsi="GHEA Grapalat"/>
          <w:sz w:val="24"/>
          <w:szCs w:val="24"/>
        </w:rPr>
        <w:t>ներն են դիմողի ֆինանսական եւ գործառնական կարողությունները: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Տրամադրման կարեւորագույն չափ</w:t>
      </w:r>
      <w:r w:rsidR="00E142CE" w:rsidRPr="00A350E1">
        <w:rPr>
          <w:rStyle w:val="Bodytext26"/>
          <w:rFonts w:ascii="GHEA Grapalat" w:hAnsi="GHEA Grapalat"/>
          <w:sz w:val="24"/>
          <w:szCs w:val="24"/>
        </w:rPr>
        <w:t>անիշ</w:t>
      </w:r>
      <w:r w:rsidRPr="00A350E1">
        <w:rPr>
          <w:rStyle w:val="Bodytext26"/>
          <w:rFonts w:ascii="GHEA Grapalat" w:hAnsi="GHEA Grapalat"/>
          <w:sz w:val="24"/>
          <w:szCs w:val="24"/>
        </w:rPr>
        <w:t>ներն են առաջարկվող գործողության համապատասխանությունը հայտամրցույթի նպատակներին՝ գործողության կառուցվածքը, արդյունավետությունը, իրագործելիությունը, կայունությունը եւ ծախսարդյունավետությունը:</w:t>
      </w:r>
    </w:p>
    <w:p w:rsidR="00C15D0A" w:rsidRPr="00A350E1" w:rsidRDefault="001A58C9" w:rsidP="003C5457">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ե)</w:t>
      </w:r>
      <w:r w:rsidR="003C5457">
        <w:rPr>
          <w:rFonts w:ascii="GHEA Grapalat" w:hAnsi="GHEA Grapalat"/>
          <w:sz w:val="24"/>
          <w:szCs w:val="24"/>
        </w:rPr>
        <w:tab/>
      </w:r>
      <w:r w:rsidRPr="00A350E1">
        <w:rPr>
          <w:rStyle w:val="Bodytext26"/>
          <w:rFonts w:ascii="GHEA Grapalat" w:hAnsi="GHEA Grapalat"/>
          <w:sz w:val="24"/>
          <w:szCs w:val="24"/>
        </w:rPr>
        <w:t>Համաֆինանսավորման առավելագույն չափը</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Սույն դրամաշնորհի համար համաֆինանսավորման հնարավոր առավելագույն չափը կազմում է 100%։</w:t>
      </w:r>
    </w:p>
    <w:p w:rsidR="00C15D0A" w:rsidRPr="00A350E1" w:rsidRDefault="001A58C9" w:rsidP="00C1754D">
      <w:pPr>
        <w:pStyle w:val="Bodytext20"/>
        <w:shd w:val="clear" w:color="auto" w:fill="auto"/>
        <w:spacing w:after="160" w:line="360" w:lineRule="auto"/>
        <w:ind w:right="-1" w:firstLine="567"/>
        <w:jc w:val="both"/>
        <w:rPr>
          <w:rFonts w:ascii="GHEA Grapalat" w:hAnsi="GHEA Grapalat" w:cs="Sylfaen"/>
          <w:sz w:val="24"/>
          <w:szCs w:val="24"/>
        </w:rPr>
      </w:pPr>
      <w:r w:rsidRPr="002139E2">
        <w:rPr>
          <w:rStyle w:val="Bodytext26"/>
          <w:rFonts w:ascii="GHEA Grapalat" w:hAnsi="GHEA Grapalat"/>
          <w:spacing w:val="-4"/>
          <w:sz w:val="24"/>
          <w:szCs w:val="24"/>
        </w:rPr>
        <w:t xml:space="preserve">Թիվ 966/2012 (ԵՄ, Եվրատոմ) կանոնակարգի 192-րդ հոդվածի համաձայն՝ եթե գործողությունն իրականացնելու համար </w:t>
      </w:r>
      <w:r w:rsidR="00E142CE" w:rsidRPr="002139E2">
        <w:rPr>
          <w:rStyle w:val="Bodytext26"/>
          <w:rFonts w:ascii="GHEA Grapalat" w:hAnsi="GHEA Grapalat"/>
          <w:spacing w:val="-4"/>
          <w:sz w:val="24"/>
          <w:szCs w:val="24"/>
        </w:rPr>
        <w:t xml:space="preserve">անհրաժեշտ է </w:t>
      </w:r>
      <w:r w:rsidRPr="002139E2">
        <w:rPr>
          <w:rStyle w:val="Bodytext26"/>
          <w:rFonts w:ascii="GHEA Grapalat" w:hAnsi="GHEA Grapalat"/>
          <w:spacing w:val="-4"/>
          <w:sz w:val="24"/>
          <w:szCs w:val="24"/>
        </w:rPr>
        <w:t>ամբողջական ֆինանսավորում, ապա ֆինանսավորման հնարավոր առավելագույ</w:t>
      </w:r>
      <w:r w:rsidRPr="00A350E1">
        <w:rPr>
          <w:rStyle w:val="Bodytext26"/>
          <w:rFonts w:ascii="GHEA Grapalat" w:hAnsi="GHEA Grapalat"/>
          <w:sz w:val="24"/>
          <w:szCs w:val="24"/>
        </w:rPr>
        <w:t>ն չափը կարող է բարձրացվել մինչեւ 100%։ Ամբողջական ֆինանսավորման անհրաժեշտությունը հիմնավորվում է դրամաշնորհ տրամադրելու մասին որոշում կայացնելու պատասխանատ</w:t>
      </w:r>
      <w:r w:rsidR="00E142CE" w:rsidRPr="00A350E1">
        <w:rPr>
          <w:rStyle w:val="Bodytext26"/>
          <w:rFonts w:ascii="GHEA Grapalat" w:hAnsi="GHEA Grapalat"/>
          <w:sz w:val="24"/>
          <w:szCs w:val="24"/>
        </w:rPr>
        <w:t>վ</w:t>
      </w:r>
      <w:r w:rsidRPr="00A350E1">
        <w:rPr>
          <w:rStyle w:val="Bodytext26"/>
          <w:rFonts w:ascii="GHEA Grapalat" w:hAnsi="GHEA Grapalat"/>
          <w:sz w:val="24"/>
          <w:szCs w:val="24"/>
        </w:rPr>
        <w:t>ու</w:t>
      </w:r>
      <w:r w:rsidR="00E142CE" w:rsidRPr="00A350E1">
        <w:rPr>
          <w:rStyle w:val="Bodytext26"/>
          <w:rFonts w:ascii="GHEA Grapalat" w:hAnsi="GHEA Grapalat"/>
          <w:sz w:val="24"/>
          <w:szCs w:val="24"/>
        </w:rPr>
        <w:t>թյուն կրող՝</w:t>
      </w:r>
      <w:r w:rsidRPr="00A350E1">
        <w:rPr>
          <w:rStyle w:val="Bodytext26"/>
          <w:rFonts w:ascii="GHEA Grapalat" w:hAnsi="GHEA Grapalat"/>
          <w:sz w:val="24"/>
          <w:szCs w:val="24"/>
        </w:rPr>
        <w:t xml:space="preserve"> Հանձնաժողովի լիազոր պաշտոնյայի կողմից՝ հավասար վերաբերմունքի եւ սահուն ֆինանսական կառավարման սկզբունքներին համապատասխան:</w:t>
      </w:r>
    </w:p>
    <w:p w:rsidR="00C15D0A" w:rsidRDefault="001A58C9" w:rsidP="003C5457">
      <w:pPr>
        <w:pStyle w:val="Bodytext20"/>
        <w:shd w:val="clear" w:color="auto" w:fill="auto"/>
        <w:tabs>
          <w:tab w:val="left" w:pos="1134"/>
        </w:tabs>
        <w:spacing w:after="160" w:line="360" w:lineRule="auto"/>
        <w:ind w:right="-1" w:firstLine="567"/>
        <w:jc w:val="both"/>
        <w:rPr>
          <w:rStyle w:val="Bodytext26"/>
          <w:rFonts w:ascii="GHEA Grapalat" w:hAnsi="GHEA Grapalat"/>
          <w:sz w:val="24"/>
          <w:szCs w:val="24"/>
        </w:rPr>
      </w:pPr>
      <w:r w:rsidRPr="00A350E1">
        <w:rPr>
          <w:rFonts w:ascii="GHEA Grapalat" w:hAnsi="GHEA Grapalat"/>
          <w:sz w:val="24"/>
          <w:szCs w:val="24"/>
        </w:rPr>
        <w:t>զ)</w:t>
      </w:r>
      <w:r w:rsidR="003C5457">
        <w:rPr>
          <w:rFonts w:ascii="GHEA Grapalat" w:hAnsi="GHEA Grapalat"/>
          <w:sz w:val="24"/>
          <w:szCs w:val="24"/>
        </w:rPr>
        <w:tab/>
      </w:r>
      <w:r w:rsidRPr="00A350E1">
        <w:rPr>
          <w:rStyle w:val="Bodytext26"/>
          <w:rFonts w:ascii="GHEA Grapalat" w:hAnsi="GHEA Grapalat"/>
          <w:sz w:val="24"/>
          <w:szCs w:val="24"/>
        </w:rPr>
        <w:t xml:space="preserve">Դրամաշնորհի </w:t>
      </w:r>
      <w:r w:rsidR="00E142CE" w:rsidRPr="00A350E1">
        <w:rPr>
          <w:rStyle w:val="Bodytext26"/>
          <w:rFonts w:ascii="GHEA Grapalat" w:hAnsi="GHEA Grapalat"/>
          <w:sz w:val="24"/>
          <w:szCs w:val="24"/>
        </w:rPr>
        <w:t xml:space="preserve">մասին </w:t>
      </w:r>
      <w:r w:rsidRPr="00A350E1">
        <w:rPr>
          <w:rStyle w:val="Bodytext26"/>
          <w:rFonts w:ascii="GHEA Grapalat" w:hAnsi="GHEA Grapalat"/>
          <w:sz w:val="24"/>
          <w:szCs w:val="24"/>
        </w:rPr>
        <w:t>համաձայնագիրը կնքելու նախանշված եռամսյակը</w:t>
      </w:r>
      <w:r w:rsidR="00E142CE" w:rsidRPr="00A350E1">
        <w:rPr>
          <w:rStyle w:val="Bodytext26"/>
          <w:rFonts w:ascii="GHEA Grapalat" w:hAnsi="GHEA Grapalat"/>
          <w:sz w:val="24"/>
          <w:szCs w:val="24"/>
        </w:rPr>
        <w:t>՝</w:t>
      </w:r>
      <w:r w:rsidRPr="00A350E1">
        <w:rPr>
          <w:rStyle w:val="Bodytext26"/>
          <w:rFonts w:ascii="GHEA Grapalat" w:hAnsi="GHEA Grapalat"/>
          <w:sz w:val="24"/>
          <w:szCs w:val="24"/>
        </w:rPr>
        <w:t xml:space="preserve"> 2018 թվականի առաջին եռամսյակ</w:t>
      </w:r>
      <w:r w:rsidR="00E142CE" w:rsidRPr="00A350E1">
        <w:rPr>
          <w:rStyle w:val="Bodytext26"/>
          <w:rFonts w:ascii="GHEA Grapalat" w:hAnsi="GHEA Grapalat"/>
          <w:sz w:val="24"/>
          <w:szCs w:val="24"/>
        </w:rPr>
        <w:t>:</w:t>
      </w:r>
    </w:p>
    <w:p w:rsidR="003C5457" w:rsidRPr="00A350E1" w:rsidRDefault="003C5457" w:rsidP="00C1754D">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C5457">
      <w:pPr>
        <w:pStyle w:val="Bodytext60"/>
        <w:shd w:val="clear" w:color="auto" w:fill="auto"/>
        <w:tabs>
          <w:tab w:val="left" w:pos="1134"/>
        </w:tabs>
        <w:spacing w:before="0" w:after="160" w:line="360" w:lineRule="auto"/>
        <w:ind w:right="-1" w:firstLine="567"/>
        <w:jc w:val="left"/>
        <w:rPr>
          <w:rFonts w:ascii="GHEA Grapalat" w:hAnsi="GHEA Grapalat" w:cs="Sylfaen"/>
          <w:sz w:val="24"/>
          <w:szCs w:val="24"/>
        </w:rPr>
      </w:pPr>
      <w:r w:rsidRPr="00A350E1">
        <w:rPr>
          <w:rStyle w:val="Bodytext61"/>
          <w:rFonts w:ascii="GHEA Grapalat" w:hAnsi="GHEA Grapalat"/>
          <w:b/>
          <w:i/>
          <w:sz w:val="24"/>
          <w:szCs w:val="24"/>
        </w:rPr>
        <w:lastRenderedPageBreak/>
        <w:t>2.1.3</w:t>
      </w:r>
      <w:r w:rsidR="001803C6" w:rsidRPr="00A350E1">
        <w:rPr>
          <w:rStyle w:val="Bodytext61"/>
          <w:rFonts w:ascii="GHEA Grapalat" w:hAnsi="GHEA Grapalat"/>
          <w:b/>
          <w:i/>
          <w:sz w:val="24"/>
          <w:szCs w:val="24"/>
        </w:rPr>
        <w:t>.</w:t>
      </w:r>
      <w:r w:rsidR="003C5457">
        <w:rPr>
          <w:rStyle w:val="Bodytext61"/>
          <w:rFonts w:ascii="GHEA Grapalat" w:hAnsi="GHEA Grapalat"/>
          <w:b/>
          <w:i/>
          <w:sz w:val="24"/>
          <w:szCs w:val="24"/>
        </w:rPr>
        <w:tab/>
      </w:r>
      <w:r w:rsidRPr="00A350E1">
        <w:rPr>
          <w:rStyle w:val="Bodytext61"/>
          <w:rFonts w:ascii="GHEA Grapalat" w:hAnsi="GHEA Grapalat"/>
          <w:b/>
          <w:i/>
          <w:sz w:val="24"/>
          <w:szCs w:val="24"/>
        </w:rPr>
        <w:t xml:space="preserve">Վերակառուցման </w:t>
      </w:r>
      <w:r w:rsidR="001118B9" w:rsidRPr="00A350E1">
        <w:rPr>
          <w:rStyle w:val="Bodytext61"/>
          <w:rFonts w:ascii="GHEA Grapalat" w:hAnsi="GHEA Grapalat"/>
          <w:b/>
          <w:i/>
          <w:sz w:val="24"/>
          <w:szCs w:val="24"/>
        </w:rPr>
        <w:t>եւ</w:t>
      </w:r>
      <w:r w:rsidRPr="00A350E1">
        <w:rPr>
          <w:rStyle w:val="Bodytext61"/>
          <w:rFonts w:ascii="GHEA Grapalat" w:hAnsi="GHEA Grapalat"/>
          <w:b/>
          <w:i/>
          <w:sz w:val="24"/>
          <w:szCs w:val="24"/>
        </w:rPr>
        <w:t xml:space="preserve"> զարգացման եվրոպական բանկի հետ ուղղակի կառավարում</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Այս գործողության մի մասը կարող է իրականացվել</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Վերակառուցման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զարգացման եվրոպական բանկի հետ անուղղակի կառավարմամբ՝ թիվ 966/2012 </w:t>
      </w:r>
      <w:r w:rsidR="001803C6" w:rsidRPr="00A350E1">
        <w:rPr>
          <w:rStyle w:val="Bodytext26"/>
          <w:rFonts w:ascii="GHEA Grapalat" w:hAnsi="GHEA Grapalat"/>
          <w:sz w:val="24"/>
          <w:szCs w:val="24"/>
        </w:rPr>
        <w:t>կ</w:t>
      </w:r>
      <w:r w:rsidRPr="00A350E1">
        <w:rPr>
          <w:rStyle w:val="Bodytext26"/>
          <w:rFonts w:ascii="GHEA Grapalat" w:hAnsi="GHEA Grapalat"/>
          <w:sz w:val="24"/>
          <w:szCs w:val="24"/>
        </w:rPr>
        <w:t xml:space="preserve">անոնակարգի (ԵՄ, Եվրատոմ) 58-րդ հոդվածի 1-ին մասի «գ» կետին համապատասխան։ Դրա իրականացումը հանգեցնում է 1.2 բաժնում նշված գործունեության իրականացմանը. նախանշվում է, որ ՎԶԵԲ-ը սկզբնական փուլում կանդրադառնա 1-ին բաղադրիչի 2-րդ, 3րդ, 4-րդ գործողություններին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2-րդ բաղադրիչի 2-րդ, 3-րդ գործողություններին։ Դրանց իրականացումը հիմնավորված է, որովհետ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այդ գործողությունն ունի որոշակի առանձնահատկություններ, որոնց դեպքում տեխնիկական հմտությունների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մասնագիտացման իմաստով պահանջվում են որոշակի շահառուներ։ ՎԶԵԲ-ը Հայաստանում համարվում է առաջատար միջազգային կազմակերպություն, որն ունի մեծ փորձ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վստահության մանդատ։</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ՎԶԵԲ-ի</w:t>
      </w:r>
      <w:r w:rsidR="00EE57E9" w:rsidRPr="00A350E1">
        <w:rPr>
          <w:rStyle w:val="Bodytext26"/>
          <w:rFonts w:ascii="GHEA Grapalat" w:hAnsi="GHEA Grapalat"/>
          <w:sz w:val="24"/>
          <w:szCs w:val="24"/>
        </w:rPr>
        <w:t>՝</w:t>
      </w:r>
      <w:r w:rsidRPr="00A350E1">
        <w:rPr>
          <w:rStyle w:val="Bodytext26"/>
          <w:rFonts w:ascii="GHEA Grapalat" w:hAnsi="GHEA Grapalat"/>
          <w:sz w:val="24"/>
          <w:szCs w:val="24"/>
        </w:rPr>
        <w:t xml:space="preserve"> Հայաստանի գծով ռազմավարությամբ սահմանվում է հանձնառություն՝ օժանդակելու առանցքային ոլորտներում բարեփոխումներին, որոնք անհրաժեշտ են երկրի մրցունակությունը վերականգնելու, մասնավոր հատվածի զարգացմանը աջակցելու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աճը խթանելու համար։ Այդպիսի ռազմավարական նպատակները, հանձնառություններն ու երկրի գերակայություններին փոխկապակցվածությունը լիարժեքոր</w:t>
      </w:r>
      <w:r w:rsidR="001803C6" w:rsidRPr="00A350E1">
        <w:rPr>
          <w:rStyle w:val="Bodytext26"/>
          <w:rFonts w:ascii="GHEA Grapalat" w:hAnsi="GHEA Grapalat"/>
          <w:sz w:val="24"/>
          <w:szCs w:val="24"/>
        </w:rPr>
        <w:t>ե</w:t>
      </w:r>
      <w:r w:rsidRPr="00A350E1">
        <w:rPr>
          <w:rStyle w:val="Bodytext26"/>
          <w:rFonts w:ascii="GHEA Grapalat" w:hAnsi="GHEA Grapalat"/>
          <w:sz w:val="24"/>
          <w:szCs w:val="24"/>
        </w:rPr>
        <w:t xml:space="preserve">ն համապատասխանում են սույն գործողության նպատակներին։ Փորձը ցույց է տալիս, որ գործունեությունը հարթ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արդյունավետ ձ</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ով է ընթանում այն ժամանակ, երբ Հայաստանի իշխանություններն աշխատում են այն դոնոր կազմակերպությունների հետ, որոնք երկրում իրենց գրասենյակն ունեն, հասկանում են երկրի առանձնահատկությունները,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որոնց այդ իշխանությունները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մասնագիտական,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կազմակերպչական տեսանկյունից «հուսալի» են համարում։</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Լիազորված մարմինները կատարում են բյուջեի կատարմանն առնչվող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յալ առաջադրանքները. առաջադրանքների կատարմանն աջակցելու </w:t>
      </w:r>
      <w:r w:rsidRPr="00A350E1">
        <w:rPr>
          <w:rStyle w:val="Bodytext26"/>
          <w:rFonts w:ascii="GHEA Grapalat" w:hAnsi="GHEA Grapalat"/>
          <w:sz w:val="24"/>
          <w:szCs w:val="24"/>
        </w:rPr>
        <w:lastRenderedPageBreak/>
        <w:t xml:space="preserve">նպատակով փորձագետներին ներգրավելը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տարատեսակ աշխատաժողովներ ու վերապատրաստումներ կազմակերպելը։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Եթե վերոնշյալ լիազորված մարմնի հետ բանակցությունները ձախողվում են, ապա սույն գործողության այդ մասը կարող է կատարվել ուղղակի կառավարմամբ՝</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2.1.1. կամ 2.1.4 բաժիններում նշված իրականացման մեթոդներին համապատասխան։</w:t>
      </w:r>
    </w:p>
    <w:p w:rsidR="003C5457" w:rsidRDefault="003C5457" w:rsidP="00A350E1">
      <w:pPr>
        <w:pStyle w:val="Bodytext60"/>
        <w:shd w:val="clear" w:color="auto" w:fill="auto"/>
        <w:spacing w:before="0" w:after="160" w:line="360" w:lineRule="auto"/>
        <w:ind w:right="-1"/>
        <w:rPr>
          <w:rStyle w:val="Bodytext61"/>
          <w:rFonts w:ascii="GHEA Grapalat" w:hAnsi="GHEA Grapalat"/>
          <w:b/>
          <w:i/>
          <w:sz w:val="24"/>
          <w:szCs w:val="24"/>
        </w:rPr>
      </w:pPr>
    </w:p>
    <w:p w:rsidR="00C15D0A" w:rsidRPr="00A350E1" w:rsidRDefault="001A58C9" w:rsidP="003C5457">
      <w:pPr>
        <w:pStyle w:val="Bodytext60"/>
        <w:shd w:val="clear" w:color="auto" w:fill="auto"/>
        <w:tabs>
          <w:tab w:val="left" w:pos="1134"/>
        </w:tabs>
        <w:spacing w:before="0" w:after="160" w:line="360" w:lineRule="auto"/>
        <w:ind w:right="-1" w:firstLine="567"/>
        <w:jc w:val="left"/>
        <w:rPr>
          <w:rFonts w:ascii="GHEA Grapalat" w:hAnsi="GHEA Grapalat" w:cs="Sylfaen"/>
          <w:sz w:val="24"/>
          <w:szCs w:val="24"/>
        </w:rPr>
      </w:pPr>
      <w:r w:rsidRPr="00A350E1">
        <w:rPr>
          <w:rStyle w:val="Bodytext61"/>
          <w:rFonts w:ascii="GHEA Grapalat" w:hAnsi="GHEA Grapalat"/>
          <w:b/>
          <w:i/>
          <w:sz w:val="24"/>
          <w:szCs w:val="24"/>
        </w:rPr>
        <w:t>2.1.4.</w:t>
      </w:r>
      <w:r w:rsidR="003C5457">
        <w:rPr>
          <w:rStyle w:val="Bodytext61"/>
          <w:rFonts w:ascii="GHEA Grapalat" w:hAnsi="GHEA Grapalat"/>
          <w:b/>
          <w:i/>
          <w:sz w:val="24"/>
          <w:szCs w:val="24"/>
        </w:rPr>
        <w:tab/>
      </w:r>
      <w:r w:rsidRPr="00A350E1">
        <w:rPr>
          <w:rStyle w:val="Bodytext61"/>
          <w:rFonts w:ascii="GHEA Grapalat" w:hAnsi="GHEA Grapalat"/>
          <w:b/>
          <w:i/>
          <w:sz w:val="24"/>
          <w:szCs w:val="24"/>
        </w:rPr>
        <w:t>Գնումներ (ուղղակի կառավարում)</w:t>
      </w:r>
    </w:p>
    <w:tbl>
      <w:tblPr>
        <w:tblOverlap w:val="never"/>
        <w:tblW w:w="0" w:type="auto"/>
        <w:jc w:val="center"/>
        <w:tblLayout w:type="fixed"/>
        <w:tblCellMar>
          <w:left w:w="10" w:type="dxa"/>
          <w:right w:w="10" w:type="dxa"/>
        </w:tblCellMar>
        <w:tblLook w:val="0000"/>
      </w:tblPr>
      <w:tblGrid>
        <w:gridCol w:w="3725"/>
        <w:gridCol w:w="1739"/>
        <w:gridCol w:w="1701"/>
        <w:gridCol w:w="1776"/>
      </w:tblGrid>
      <w:tr w:rsidR="00C15D0A" w:rsidRPr="003C5457" w:rsidTr="003C5457">
        <w:trPr>
          <w:jc w:val="center"/>
        </w:trPr>
        <w:tc>
          <w:tcPr>
            <w:tcW w:w="3725" w:type="dxa"/>
            <w:tcBorders>
              <w:top w:val="single" w:sz="4" w:space="0" w:color="auto"/>
              <w:left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Առարկան՝ ընդհանուր ձեւակերպումներով (հնարավորության դեպքում)</w:t>
            </w:r>
          </w:p>
        </w:tc>
        <w:tc>
          <w:tcPr>
            <w:tcW w:w="1739" w:type="dxa"/>
            <w:tcBorders>
              <w:top w:val="single" w:sz="4" w:space="0" w:color="auto"/>
              <w:left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Տեսակը (աշխատանքներ, մատակարարումներ, ծառայություններ)</w:t>
            </w:r>
          </w:p>
        </w:tc>
        <w:tc>
          <w:tcPr>
            <w:tcW w:w="1701" w:type="dxa"/>
            <w:tcBorders>
              <w:top w:val="single" w:sz="4" w:space="0" w:color="auto"/>
              <w:left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Պայմանագրերի նախանշված թիվը</w:t>
            </w:r>
          </w:p>
        </w:tc>
        <w:tc>
          <w:tcPr>
            <w:tcW w:w="1776"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Ընթացակարգի մեկնարկի նախանշված եռամսյակը</w:t>
            </w:r>
          </w:p>
        </w:tc>
      </w:tr>
      <w:tr w:rsidR="00C15D0A" w:rsidRPr="003C5457" w:rsidTr="003C5457">
        <w:trPr>
          <w:jc w:val="center"/>
        </w:trPr>
        <w:tc>
          <w:tcPr>
            <w:tcW w:w="3725" w:type="dxa"/>
            <w:tcBorders>
              <w:top w:val="single" w:sz="4" w:space="0" w:color="auto"/>
              <w:left w:val="single" w:sz="4" w:space="0" w:color="auto"/>
              <w:bottom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Ժամանակավոր տեխնիկական աջակցությ</w:t>
            </w:r>
            <w:r w:rsidR="00CB48BD" w:rsidRPr="003C5457">
              <w:rPr>
                <w:rStyle w:val="Bodytext22"/>
                <w:rFonts w:ascii="GHEA Grapalat" w:hAnsi="GHEA Grapalat"/>
                <w:sz w:val="20"/>
                <w:szCs w:val="24"/>
              </w:rPr>
              <w:t>ու</w:t>
            </w:r>
            <w:r w:rsidRPr="003C5457">
              <w:rPr>
                <w:rStyle w:val="Bodytext22"/>
                <w:rFonts w:ascii="GHEA Grapalat" w:hAnsi="GHEA Grapalat"/>
                <w:sz w:val="20"/>
                <w:szCs w:val="24"/>
              </w:rPr>
              <w:t xml:space="preserve">ն </w:t>
            </w:r>
          </w:p>
        </w:tc>
        <w:tc>
          <w:tcPr>
            <w:tcW w:w="1739" w:type="dxa"/>
            <w:tcBorders>
              <w:top w:val="single" w:sz="4" w:space="0" w:color="auto"/>
              <w:left w:val="single" w:sz="4" w:space="0" w:color="auto"/>
              <w:bottom w:val="single" w:sz="4" w:space="0" w:color="auto"/>
            </w:tcBorders>
            <w:shd w:val="clear" w:color="auto" w:fill="FFFFFF"/>
          </w:tcPr>
          <w:p w:rsidR="00C15D0A" w:rsidRPr="003C5457" w:rsidRDefault="00CB48BD"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ծառայություններ</w:t>
            </w:r>
          </w:p>
        </w:tc>
        <w:tc>
          <w:tcPr>
            <w:tcW w:w="1701" w:type="dxa"/>
            <w:tcBorders>
              <w:top w:val="single" w:sz="4" w:space="0" w:color="auto"/>
              <w:left w:val="single" w:sz="4" w:space="0" w:color="auto"/>
              <w:bottom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2</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left="67" w:firstLine="0"/>
              <w:jc w:val="left"/>
              <w:rPr>
                <w:rFonts w:ascii="GHEA Grapalat" w:hAnsi="GHEA Grapalat" w:cs="Sylfaen"/>
                <w:sz w:val="20"/>
                <w:szCs w:val="24"/>
              </w:rPr>
            </w:pPr>
            <w:r w:rsidRPr="003C5457">
              <w:rPr>
                <w:rStyle w:val="Bodytext22"/>
                <w:rFonts w:ascii="GHEA Grapalat" w:hAnsi="GHEA Grapalat"/>
                <w:sz w:val="20"/>
                <w:szCs w:val="24"/>
              </w:rPr>
              <w:t>2018 թվականի առաջին կիսամյակ</w:t>
            </w:r>
          </w:p>
        </w:tc>
      </w:tr>
    </w:tbl>
    <w:p w:rsidR="003C5457" w:rsidRDefault="003C5457" w:rsidP="002139E2">
      <w:pPr>
        <w:pStyle w:val="Heading20"/>
        <w:shd w:val="clear" w:color="auto" w:fill="auto"/>
        <w:spacing w:before="0" w:after="0" w:line="336" w:lineRule="auto"/>
        <w:outlineLvl w:val="9"/>
        <w:rPr>
          <w:rFonts w:ascii="GHEA Grapalat" w:hAnsi="GHEA Grapalat"/>
          <w:sz w:val="24"/>
          <w:szCs w:val="24"/>
        </w:rPr>
      </w:pPr>
    </w:p>
    <w:p w:rsidR="00C15D0A" w:rsidRPr="00A350E1" w:rsidRDefault="001A58C9" w:rsidP="002139E2">
      <w:pPr>
        <w:pStyle w:val="Heading20"/>
        <w:shd w:val="clear" w:color="auto" w:fill="auto"/>
        <w:tabs>
          <w:tab w:val="left" w:pos="1134"/>
        </w:tabs>
        <w:spacing w:before="0" w:after="160" w:line="336" w:lineRule="auto"/>
        <w:ind w:firstLine="567"/>
        <w:jc w:val="left"/>
        <w:outlineLvl w:val="9"/>
        <w:rPr>
          <w:rFonts w:ascii="GHEA Grapalat" w:hAnsi="GHEA Grapalat" w:cs="Sylfaen"/>
          <w:sz w:val="24"/>
          <w:szCs w:val="24"/>
        </w:rPr>
      </w:pPr>
      <w:r w:rsidRPr="00A350E1">
        <w:rPr>
          <w:rFonts w:ascii="GHEA Grapalat" w:hAnsi="GHEA Grapalat"/>
          <w:sz w:val="24"/>
          <w:szCs w:val="24"/>
        </w:rPr>
        <w:t>2.2.</w:t>
      </w:r>
      <w:r w:rsidR="003C5457">
        <w:rPr>
          <w:rFonts w:ascii="GHEA Grapalat" w:hAnsi="GHEA Grapalat"/>
          <w:sz w:val="24"/>
          <w:szCs w:val="24"/>
        </w:rPr>
        <w:tab/>
      </w:r>
      <w:r w:rsidRPr="00A350E1">
        <w:rPr>
          <w:rStyle w:val="Heading21"/>
          <w:rFonts w:ascii="GHEA Grapalat" w:hAnsi="GHEA Grapalat"/>
          <w:b/>
          <w:sz w:val="24"/>
          <w:szCs w:val="24"/>
        </w:rPr>
        <w:t>Գնումների եւ դրամաշնորհների՝ աշխարհագրական առումով համապատասխանության շրջանակը</w:t>
      </w:r>
    </w:p>
    <w:p w:rsidR="00C15D0A" w:rsidRPr="00A350E1" w:rsidRDefault="00331AC8" w:rsidP="002139E2">
      <w:pPr>
        <w:pStyle w:val="Bodytext20"/>
        <w:shd w:val="clear" w:color="auto" w:fill="auto"/>
        <w:spacing w:after="160" w:line="336" w:lineRule="auto"/>
        <w:ind w:firstLine="567"/>
        <w:jc w:val="both"/>
        <w:rPr>
          <w:rFonts w:ascii="GHEA Grapalat" w:hAnsi="GHEA Grapalat" w:cs="Sylfaen"/>
          <w:sz w:val="24"/>
          <w:szCs w:val="24"/>
        </w:rPr>
      </w:pPr>
      <w:r w:rsidRPr="00A350E1">
        <w:rPr>
          <w:rStyle w:val="Bodytext26"/>
          <w:rFonts w:ascii="GHEA Grapalat" w:hAnsi="GHEA Grapalat"/>
          <w:sz w:val="24"/>
          <w:szCs w:val="24"/>
        </w:rPr>
        <w:t xml:space="preserve">Գնման եւ դրամաշնորհի տրամադրման ընթացակարգերին մասնակցելու համար </w:t>
      </w:r>
      <w:r w:rsidR="001C1052" w:rsidRPr="00A350E1">
        <w:rPr>
          <w:rStyle w:val="Bodytext26"/>
          <w:rFonts w:ascii="GHEA Grapalat" w:hAnsi="GHEA Grapalat"/>
          <w:sz w:val="24"/>
          <w:szCs w:val="24"/>
        </w:rPr>
        <w:t>ա</w:t>
      </w:r>
      <w:r w:rsidR="001A58C9" w:rsidRPr="00A350E1">
        <w:rPr>
          <w:rStyle w:val="Bodytext26"/>
          <w:rFonts w:ascii="GHEA Grapalat" w:hAnsi="GHEA Grapalat"/>
          <w:sz w:val="24"/>
          <w:szCs w:val="24"/>
        </w:rPr>
        <w:t>շխարհագրական համապատասխանությունը հիմնադրման վայրի առումով ու հիմնական ակտով սահմանված եւ համապատասխան պայմանագրային փաստաթղթերում նշված կարգով մատակարարվող ապրանքների ծագման առումով կիրառելի է:</w:t>
      </w:r>
    </w:p>
    <w:p w:rsidR="00C15D0A" w:rsidRDefault="001A58C9" w:rsidP="002139E2">
      <w:pPr>
        <w:pStyle w:val="Bodytext20"/>
        <w:shd w:val="clear" w:color="auto" w:fill="auto"/>
        <w:spacing w:after="160" w:line="336" w:lineRule="auto"/>
        <w:ind w:firstLine="567"/>
        <w:jc w:val="both"/>
        <w:rPr>
          <w:rStyle w:val="Bodytext26"/>
          <w:rFonts w:ascii="GHEA Grapalat" w:hAnsi="GHEA Grapalat"/>
          <w:sz w:val="24"/>
          <w:szCs w:val="24"/>
        </w:rPr>
      </w:pPr>
      <w:r w:rsidRPr="00A350E1">
        <w:rPr>
          <w:rStyle w:val="Bodytext26"/>
          <w:rFonts w:ascii="GHEA Grapalat" w:hAnsi="GHEA Grapalat"/>
          <w:sz w:val="24"/>
          <w:szCs w:val="24"/>
        </w:rPr>
        <w:t>Հանձնաժողովի լիազոր պատասխանատու պաշտոնյան կարող է ընդլայնել աշխարհագրական առումով համապատասխանության շրջանակը՝ թիվ 236/2014 (ԵՄ) կանոնակարգի 9-րդ հոդվածի 2-րդ կետի «բ» ենթակետի համաձայն՝ շահագրգիռ երկրների շուկաներում ապրանքների եւ ծառայությունների հրատապ անհրաժեշտությունից կամ անհասանելիությունից ելնելով, կամ պատշաճ կերպով հիմնավորված այլ դեպքերում, երբ անհնարին է դառնում կամ չափազանց դժվարանում է սույն գործողության իրականացումը:</w:t>
      </w:r>
    </w:p>
    <w:p w:rsidR="00C15D0A" w:rsidRPr="00A350E1" w:rsidRDefault="001A58C9" w:rsidP="003C5457">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lastRenderedPageBreak/>
        <w:t>2.3.</w:t>
      </w:r>
      <w:r w:rsidR="003C5457">
        <w:rPr>
          <w:rFonts w:ascii="GHEA Grapalat" w:hAnsi="GHEA Grapalat"/>
          <w:sz w:val="24"/>
          <w:szCs w:val="24"/>
        </w:rPr>
        <w:tab/>
      </w:r>
      <w:r w:rsidRPr="00A350E1">
        <w:rPr>
          <w:rStyle w:val="Heading21"/>
          <w:rFonts w:ascii="GHEA Grapalat" w:hAnsi="GHEA Grapalat"/>
          <w:b/>
          <w:sz w:val="24"/>
          <w:szCs w:val="24"/>
        </w:rPr>
        <w:t>Նախանշված բյուջե</w:t>
      </w:r>
    </w:p>
    <w:tbl>
      <w:tblPr>
        <w:tblOverlap w:val="never"/>
        <w:tblW w:w="0" w:type="auto"/>
        <w:jc w:val="center"/>
        <w:tblLayout w:type="fixed"/>
        <w:tblCellMar>
          <w:left w:w="10" w:type="dxa"/>
          <w:right w:w="10" w:type="dxa"/>
        </w:tblCellMar>
        <w:tblLook w:val="0000"/>
      </w:tblPr>
      <w:tblGrid>
        <w:gridCol w:w="5645"/>
        <w:gridCol w:w="2410"/>
      </w:tblGrid>
      <w:tr w:rsidR="00C15D0A" w:rsidRPr="003C5457" w:rsidTr="003C5457">
        <w:trPr>
          <w:jc w:val="center"/>
        </w:trPr>
        <w:tc>
          <w:tcPr>
            <w:tcW w:w="5645" w:type="dxa"/>
            <w:tcBorders>
              <w:top w:val="single" w:sz="4" w:space="0" w:color="auto"/>
              <w:left w:val="single" w:sz="4" w:space="0" w:color="auto"/>
            </w:tcBorders>
            <w:shd w:val="clear" w:color="auto" w:fill="FFFFFF"/>
          </w:tcPr>
          <w:p w:rsidR="00C15D0A" w:rsidRPr="003C5457" w:rsidRDefault="00C15D0A" w:rsidP="003C5457">
            <w:pPr>
              <w:spacing w:after="120"/>
              <w:jc w:val="both"/>
              <w:rPr>
                <w:rFonts w:ascii="GHEA Grapalat" w:hAnsi="GHEA Grapalat" w:cs="Sylfaen"/>
                <w:sz w:val="20"/>
              </w:rPr>
            </w:pP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Bold"/>
                <w:rFonts w:ascii="GHEA Grapalat" w:hAnsi="GHEA Grapalat"/>
                <w:sz w:val="20"/>
                <w:szCs w:val="24"/>
              </w:rPr>
              <w:t xml:space="preserve">ԵՄ մասնակցություն (գումարը՝ եվրոյով) </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2.1.1</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Հայտամրցույթներ Թվինինգի համար (ուղղակի կառավարում)</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3 700 000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2.1.2</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Ուղղակի դրամաշնորհ ՀԲ (ուղղակի կառավարում)</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1 500 000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2.1.3</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Պատվիրակման համաձայնագիր ՎԶԵԲ (անուղղակի կառավարում)</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1,500,000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2.1.4</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Գնումներ (ուղղակի կառավարում)</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500 000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2.6</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Գնահատում, 2.7 Աուդիտ</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150 000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tabs>
                <w:tab w:val="left" w:pos="616"/>
              </w:tabs>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2.8</w:t>
            </w:r>
            <w:r w:rsidR="003C5457">
              <w:rPr>
                <w:rStyle w:val="Bodytext22"/>
                <w:rFonts w:ascii="GHEA Grapalat" w:hAnsi="GHEA Grapalat"/>
                <w:sz w:val="20"/>
                <w:szCs w:val="24"/>
              </w:rPr>
              <w:t>.</w:t>
            </w:r>
            <w:r w:rsidR="003C5457">
              <w:rPr>
                <w:rStyle w:val="Bodytext22"/>
                <w:rFonts w:ascii="GHEA Grapalat" w:hAnsi="GHEA Grapalat"/>
                <w:sz w:val="20"/>
                <w:szCs w:val="24"/>
              </w:rPr>
              <w:tab/>
            </w:r>
            <w:r w:rsidRPr="003C5457">
              <w:rPr>
                <w:rStyle w:val="Bodytext22"/>
                <w:rFonts w:ascii="GHEA Grapalat" w:hAnsi="GHEA Grapalat"/>
                <w:sz w:val="20"/>
                <w:szCs w:val="24"/>
              </w:rPr>
              <w:t>Հաղորդակցում եւ տեսանելիություն</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150 000</w:t>
            </w:r>
          </w:p>
        </w:tc>
      </w:tr>
      <w:tr w:rsidR="00C15D0A" w:rsidRPr="003C5457" w:rsidTr="003C5457">
        <w:trPr>
          <w:jc w:val="center"/>
        </w:trPr>
        <w:tc>
          <w:tcPr>
            <w:tcW w:w="5645" w:type="dxa"/>
            <w:tcBorders>
              <w:top w:val="single" w:sz="4" w:space="0" w:color="auto"/>
              <w:left w:val="single" w:sz="4" w:space="0" w:color="auto"/>
            </w:tcBorders>
            <w:shd w:val="clear" w:color="auto" w:fill="FFFFFF"/>
            <w:vAlign w:val="bottom"/>
          </w:tcPr>
          <w:p w:rsidR="00C15D0A" w:rsidRPr="003C5457" w:rsidRDefault="001A58C9" w:rsidP="003C5457">
            <w:pPr>
              <w:pStyle w:val="Bodytext20"/>
              <w:shd w:val="clear" w:color="auto" w:fill="auto"/>
              <w:spacing w:after="120" w:line="240" w:lineRule="auto"/>
              <w:ind w:firstLine="0"/>
              <w:jc w:val="both"/>
              <w:rPr>
                <w:rFonts w:ascii="GHEA Grapalat" w:hAnsi="GHEA Grapalat" w:cs="Sylfaen"/>
                <w:sz w:val="20"/>
                <w:szCs w:val="24"/>
              </w:rPr>
            </w:pPr>
            <w:r w:rsidRPr="003C5457">
              <w:rPr>
                <w:rStyle w:val="Bodytext22"/>
                <w:rFonts w:ascii="GHEA Grapalat" w:hAnsi="GHEA Grapalat"/>
                <w:sz w:val="20"/>
                <w:szCs w:val="24"/>
              </w:rPr>
              <w:t>Չնախատեսված ծախսեր</w:t>
            </w:r>
          </w:p>
        </w:tc>
        <w:tc>
          <w:tcPr>
            <w:tcW w:w="2410" w:type="dxa"/>
            <w:tcBorders>
              <w:top w:val="single" w:sz="4" w:space="0" w:color="auto"/>
              <w:left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2"/>
                <w:rFonts w:ascii="GHEA Grapalat" w:hAnsi="GHEA Grapalat"/>
                <w:sz w:val="20"/>
                <w:szCs w:val="24"/>
              </w:rPr>
              <w:t>Առկա չեն</w:t>
            </w:r>
          </w:p>
        </w:tc>
      </w:tr>
      <w:tr w:rsidR="00C15D0A" w:rsidRPr="003C5457" w:rsidTr="003C5457">
        <w:trPr>
          <w:jc w:val="center"/>
        </w:trPr>
        <w:tc>
          <w:tcPr>
            <w:tcW w:w="5645" w:type="dxa"/>
            <w:tcBorders>
              <w:top w:val="single" w:sz="4" w:space="0" w:color="auto"/>
              <w:left w:val="single" w:sz="4" w:space="0" w:color="auto"/>
              <w:bottom w:val="single" w:sz="4" w:space="0" w:color="auto"/>
            </w:tcBorders>
            <w:shd w:val="clear" w:color="auto" w:fill="FFFFFF"/>
            <w:vAlign w:val="bottom"/>
          </w:tcPr>
          <w:p w:rsidR="00C15D0A" w:rsidRPr="003C5457" w:rsidRDefault="001A58C9" w:rsidP="003C5457">
            <w:pPr>
              <w:pStyle w:val="Bodytext20"/>
              <w:shd w:val="clear" w:color="auto" w:fill="auto"/>
              <w:spacing w:after="120" w:line="240" w:lineRule="auto"/>
              <w:ind w:firstLine="0"/>
              <w:jc w:val="both"/>
              <w:rPr>
                <w:rFonts w:ascii="GHEA Grapalat" w:hAnsi="GHEA Grapalat" w:cs="Sylfaen"/>
                <w:sz w:val="20"/>
                <w:szCs w:val="24"/>
              </w:rPr>
            </w:pPr>
            <w:r w:rsidRPr="003C5457">
              <w:rPr>
                <w:rStyle w:val="Bodytext2Bold"/>
                <w:rFonts w:ascii="GHEA Grapalat" w:hAnsi="GHEA Grapalat"/>
                <w:sz w:val="20"/>
                <w:szCs w:val="24"/>
              </w:rPr>
              <w:t>Ընդամենը</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15D0A" w:rsidRPr="003C5457" w:rsidRDefault="001A58C9" w:rsidP="003C5457">
            <w:pPr>
              <w:pStyle w:val="Bodytext20"/>
              <w:shd w:val="clear" w:color="auto" w:fill="auto"/>
              <w:spacing w:after="120" w:line="240" w:lineRule="auto"/>
              <w:ind w:firstLine="0"/>
              <w:jc w:val="left"/>
              <w:rPr>
                <w:rFonts w:ascii="GHEA Grapalat" w:hAnsi="GHEA Grapalat" w:cs="Sylfaen"/>
                <w:sz w:val="20"/>
                <w:szCs w:val="24"/>
              </w:rPr>
            </w:pPr>
            <w:r w:rsidRPr="003C5457">
              <w:rPr>
                <w:rStyle w:val="Bodytext2Bold"/>
                <w:rFonts w:ascii="GHEA Grapalat" w:hAnsi="GHEA Grapalat"/>
                <w:sz w:val="20"/>
                <w:szCs w:val="24"/>
              </w:rPr>
              <w:t>7 500 000</w:t>
            </w:r>
          </w:p>
        </w:tc>
      </w:tr>
    </w:tbl>
    <w:p w:rsidR="001A58C9" w:rsidRPr="00A350E1" w:rsidRDefault="001A58C9" w:rsidP="003C5457">
      <w:pPr>
        <w:pStyle w:val="Heading20"/>
        <w:shd w:val="clear" w:color="auto" w:fill="auto"/>
        <w:spacing w:before="0" w:after="120" w:line="240" w:lineRule="auto"/>
        <w:outlineLvl w:val="9"/>
        <w:rPr>
          <w:rFonts w:ascii="GHEA Grapalat" w:hAnsi="GHEA Grapalat" w:cs="Sylfaen"/>
          <w:sz w:val="24"/>
          <w:szCs w:val="24"/>
        </w:rPr>
      </w:pPr>
    </w:p>
    <w:p w:rsidR="00C15D0A" w:rsidRPr="00A350E1" w:rsidRDefault="001A58C9" w:rsidP="003C5457">
      <w:pPr>
        <w:pStyle w:val="Heading20"/>
        <w:shd w:val="clear" w:color="auto" w:fill="auto"/>
        <w:tabs>
          <w:tab w:val="left" w:pos="1134"/>
        </w:tabs>
        <w:spacing w:before="0" w:after="160" w:line="336" w:lineRule="auto"/>
        <w:ind w:firstLine="567"/>
        <w:jc w:val="left"/>
        <w:outlineLvl w:val="9"/>
        <w:rPr>
          <w:rFonts w:ascii="GHEA Grapalat" w:hAnsi="GHEA Grapalat" w:cs="Sylfaen"/>
          <w:sz w:val="24"/>
          <w:szCs w:val="24"/>
        </w:rPr>
      </w:pPr>
      <w:r w:rsidRPr="00A350E1">
        <w:rPr>
          <w:rFonts w:ascii="GHEA Grapalat" w:hAnsi="GHEA Grapalat"/>
          <w:sz w:val="24"/>
          <w:szCs w:val="24"/>
        </w:rPr>
        <w:t>2.4.</w:t>
      </w:r>
      <w:r w:rsidR="003C5457">
        <w:rPr>
          <w:rFonts w:ascii="GHEA Grapalat" w:hAnsi="GHEA Grapalat"/>
          <w:sz w:val="24"/>
          <w:szCs w:val="24"/>
        </w:rPr>
        <w:tab/>
      </w:r>
      <w:r w:rsidRPr="00A350E1">
        <w:rPr>
          <w:rStyle w:val="Heading21"/>
          <w:rFonts w:ascii="GHEA Grapalat" w:hAnsi="GHEA Grapalat"/>
          <w:b/>
          <w:sz w:val="24"/>
          <w:szCs w:val="24"/>
        </w:rPr>
        <w:t>Կազմակերպական կառուցվածքը եւ պարտավորությունները</w:t>
      </w:r>
    </w:p>
    <w:p w:rsidR="00C15D0A" w:rsidRPr="00A350E1" w:rsidRDefault="001A58C9" w:rsidP="002139E2">
      <w:pPr>
        <w:pStyle w:val="Bodytext20"/>
        <w:shd w:val="clear" w:color="auto" w:fill="auto"/>
        <w:spacing w:after="160" w:line="360" w:lineRule="auto"/>
        <w:ind w:firstLine="567"/>
        <w:jc w:val="both"/>
        <w:rPr>
          <w:rFonts w:ascii="GHEA Grapalat" w:hAnsi="GHEA Grapalat" w:cs="Sylfaen"/>
          <w:sz w:val="24"/>
          <w:szCs w:val="24"/>
        </w:rPr>
      </w:pPr>
      <w:r w:rsidRPr="00A350E1">
        <w:rPr>
          <w:rStyle w:val="Bodytext26"/>
          <w:rFonts w:ascii="GHEA Grapalat" w:hAnsi="GHEA Grapalat"/>
          <w:sz w:val="24"/>
          <w:szCs w:val="24"/>
        </w:rPr>
        <w:t xml:space="preserve">Ընդհանուր ուղղվածությունն ու քաղաքականությունը վերահսկելու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հաստատելու համար ստեղծվում է Ղեկավար կոմիտե։</w:t>
      </w:r>
    </w:p>
    <w:p w:rsidR="00C15D0A" w:rsidRPr="00A350E1" w:rsidRDefault="001A58C9" w:rsidP="002139E2">
      <w:pPr>
        <w:pStyle w:val="Bodytext20"/>
        <w:shd w:val="clear" w:color="auto" w:fill="auto"/>
        <w:spacing w:after="160" w:line="360" w:lineRule="auto"/>
        <w:ind w:firstLine="567"/>
        <w:jc w:val="both"/>
        <w:rPr>
          <w:rFonts w:ascii="GHEA Grapalat" w:hAnsi="GHEA Grapalat" w:cs="Sylfaen"/>
          <w:sz w:val="24"/>
          <w:szCs w:val="24"/>
        </w:rPr>
      </w:pPr>
      <w:r w:rsidRPr="00A350E1">
        <w:rPr>
          <w:rStyle w:val="Bodytext26"/>
          <w:rFonts w:ascii="GHEA Grapalat" w:hAnsi="GHEA Grapalat"/>
          <w:sz w:val="24"/>
          <w:szCs w:val="24"/>
        </w:rPr>
        <w:t xml:space="preserve">Ղեկավար կոմիտեն համաձայնեցնում է տարեկան աշխատանքային պլանը, տեխնիկական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ֆինանսական հաշվետվությունների վերաբերյալ մեկնաբանություններ ներկայացնում,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հաստատում դրանք։ Ղեկավար կոմիտեն կարող է նախագծի պատշաճ իրականացումն ապահովելու նպատակով անհրաժեշտ միջոցներ ձեռնարկել՝ սույն գործողության շրջանակներին համապատասխան։</w:t>
      </w:r>
    </w:p>
    <w:p w:rsidR="00C15D0A" w:rsidRPr="00A350E1" w:rsidRDefault="001A58C9" w:rsidP="002139E2">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Ծրագրի ղեկավար կոմիտեն կազմված է հետ</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յալ անդամներից՝</w:t>
      </w:r>
    </w:p>
    <w:p w:rsidR="00C15D0A" w:rsidRPr="00A350E1" w:rsidRDefault="001A58C9" w:rsidP="002139E2">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w:t>
      </w:r>
      <w:r w:rsidR="003C5457">
        <w:rPr>
          <w:rFonts w:ascii="GHEA Grapalat" w:hAnsi="GHEA Grapalat"/>
          <w:sz w:val="24"/>
          <w:szCs w:val="24"/>
        </w:rPr>
        <w:tab/>
      </w:r>
      <w:r w:rsidRPr="00A350E1">
        <w:rPr>
          <w:rStyle w:val="Bodytext26"/>
          <w:rFonts w:ascii="GHEA Grapalat" w:hAnsi="GHEA Grapalat"/>
          <w:sz w:val="24"/>
          <w:szCs w:val="24"/>
        </w:rPr>
        <w:t>ԵՄ պատվիրակության ներկայացուցիչ (համանախագահ),</w:t>
      </w:r>
      <w:r w:rsidRPr="00A350E1">
        <w:rPr>
          <w:rFonts w:ascii="GHEA Grapalat" w:hAnsi="GHEA Grapalat"/>
          <w:sz w:val="24"/>
          <w:szCs w:val="24"/>
        </w:rPr>
        <w:t xml:space="preserve"> </w:t>
      </w:r>
    </w:p>
    <w:p w:rsidR="00C15D0A" w:rsidRPr="00A350E1" w:rsidRDefault="001A58C9" w:rsidP="002139E2">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w:t>
      </w:r>
      <w:r w:rsidR="003C5457">
        <w:rPr>
          <w:rFonts w:ascii="GHEA Grapalat" w:hAnsi="GHEA Grapalat"/>
          <w:sz w:val="24"/>
          <w:szCs w:val="24"/>
        </w:rPr>
        <w:tab/>
      </w:r>
      <w:r w:rsidRPr="00A350E1">
        <w:rPr>
          <w:rStyle w:val="Bodytext26"/>
          <w:rFonts w:ascii="GHEA Grapalat" w:hAnsi="GHEA Grapalat"/>
          <w:sz w:val="24"/>
          <w:szCs w:val="24"/>
        </w:rPr>
        <w:t>շահառու երկրի ներկայացուցիչ (համանախագահ),</w:t>
      </w:r>
    </w:p>
    <w:p w:rsidR="00C15D0A" w:rsidRPr="00A350E1" w:rsidRDefault="001A58C9" w:rsidP="003C5457">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w:t>
      </w:r>
      <w:r w:rsidR="003C5457">
        <w:rPr>
          <w:rFonts w:ascii="GHEA Grapalat" w:hAnsi="GHEA Grapalat"/>
          <w:sz w:val="24"/>
          <w:szCs w:val="24"/>
        </w:rPr>
        <w:tab/>
      </w:r>
      <w:r w:rsidRPr="00A350E1">
        <w:rPr>
          <w:rStyle w:val="Bodytext26"/>
          <w:rFonts w:ascii="GHEA Grapalat" w:hAnsi="GHEA Grapalat"/>
          <w:sz w:val="24"/>
          <w:szCs w:val="24"/>
        </w:rPr>
        <w:t>ՀԲ-ի ներկայացուցիչ (համանախագահ),</w:t>
      </w:r>
    </w:p>
    <w:p w:rsidR="00C15D0A" w:rsidRDefault="001A58C9" w:rsidP="003C5457">
      <w:pPr>
        <w:pStyle w:val="Bodytext20"/>
        <w:shd w:val="clear" w:color="auto" w:fill="auto"/>
        <w:tabs>
          <w:tab w:val="left" w:pos="1134"/>
        </w:tabs>
        <w:spacing w:after="160" w:line="360" w:lineRule="auto"/>
        <w:ind w:right="-1" w:firstLine="567"/>
        <w:jc w:val="both"/>
        <w:rPr>
          <w:rStyle w:val="Bodytext26"/>
          <w:rFonts w:ascii="GHEA Grapalat" w:hAnsi="GHEA Grapalat"/>
          <w:sz w:val="24"/>
          <w:szCs w:val="24"/>
          <w:lang w:val="ru-RU"/>
        </w:rPr>
      </w:pPr>
      <w:r w:rsidRPr="00A350E1">
        <w:rPr>
          <w:rFonts w:ascii="GHEA Grapalat" w:hAnsi="GHEA Grapalat"/>
          <w:sz w:val="24"/>
          <w:szCs w:val="24"/>
        </w:rPr>
        <w:t>-</w:t>
      </w:r>
      <w:r w:rsidR="003C5457">
        <w:rPr>
          <w:rFonts w:ascii="GHEA Grapalat" w:hAnsi="GHEA Grapalat"/>
          <w:sz w:val="24"/>
          <w:szCs w:val="24"/>
        </w:rPr>
        <w:tab/>
      </w:r>
      <w:r w:rsidRPr="00A350E1">
        <w:rPr>
          <w:rStyle w:val="Bodytext26"/>
          <w:rFonts w:ascii="GHEA Grapalat" w:hAnsi="GHEA Grapalat"/>
          <w:sz w:val="24"/>
          <w:szCs w:val="24"/>
        </w:rPr>
        <w:t>ՎԶԵԲ-ի ներկայացուցիչ (համանախագահ),</w:t>
      </w:r>
    </w:p>
    <w:p w:rsidR="002139E2" w:rsidRPr="002139E2" w:rsidRDefault="002139E2" w:rsidP="003C5457">
      <w:pPr>
        <w:pStyle w:val="Bodytext20"/>
        <w:shd w:val="clear" w:color="auto" w:fill="auto"/>
        <w:tabs>
          <w:tab w:val="left" w:pos="1134"/>
        </w:tabs>
        <w:spacing w:after="160" w:line="360" w:lineRule="auto"/>
        <w:ind w:right="-1" w:firstLine="567"/>
        <w:jc w:val="both"/>
        <w:rPr>
          <w:rFonts w:ascii="GHEA Grapalat" w:hAnsi="GHEA Grapalat" w:cs="Sylfaen"/>
          <w:sz w:val="24"/>
          <w:szCs w:val="24"/>
          <w:lang w:val="ru-RU"/>
        </w:rPr>
      </w:pPr>
    </w:p>
    <w:p w:rsidR="00C15D0A" w:rsidRPr="00A350E1" w:rsidRDefault="001A58C9" w:rsidP="003C5457">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lastRenderedPageBreak/>
        <w:t>-</w:t>
      </w:r>
      <w:r w:rsidR="003C5457">
        <w:rPr>
          <w:rFonts w:ascii="GHEA Grapalat" w:hAnsi="GHEA Grapalat"/>
          <w:sz w:val="24"/>
          <w:szCs w:val="24"/>
        </w:rPr>
        <w:tab/>
      </w:r>
      <w:r w:rsidRPr="00A350E1">
        <w:rPr>
          <w:rStyle w:val="Bodytext26"/>
          <w:rFonts w:ascii="GHEA Grapalat" w:hAnsi="GHEA Grapalat"/>
          <w:sz w:val="24"/>
          <w:szCs w:val="24"/>
        </w:rPr>
        <w:t>գործողության համապատասխան շահառուների ներկայացուցիչներ (որպես անդամներ),</w:t>
      </w:r>
    </w:p>
    <w:p w:rsidR="00C15D0A" w:rsidRPr="00A350E1" w:rsidRDefault="001A58C9" w:rsidP="003C5457">
      <w:pPr>
        <w:pStyle w:val="Bodytext20"/>
        <w:shd w:val="clear" w:color="auto" w:fill="auto"/>
        <w:tabs>
          <w:tab w:val="left" w:pos="1134"/>
        </w:tabs>
        <w:spacing w:after="160" w:line="360" w:lineRule="auto"/>
        <w:ind w:right="-1" w:firstLine="567"/>
        <w:jc w:val="both"/>
        <w:rPr>
          <w:rFonts w:ascii="GHEA Grapalat" w:hAnsi="GHEA Grapalat" w:cs="Sylfaen"/>
          <w:sz w:val="24"/>
          <w:szCs w:val="24"/>
        </w:rPr>
      </w:pPr>
      <w:r w:rsidRPr="00A350E1">
        <w:rPr>
          <w:rFonts w:ascii="GHEA Grapalat" w:hAnsi="GHEA Grapalat"/>
          <w:sz w:val="24"/>
          <w:szCs w:val="24"/>
        </w:rPr>
        <w:t>-</w:t>
      </w:r>
      <w:r w:rsidR="003C5457">
        <w:rPr>
          <w:rFonts w:ascii="GHEA Grapalat" w:hAnsi="GHEA Grapalat"/>
          <w:sz w:val="24"/>
          <w:szCs w:val="24"/>
        </w:rPr>
        <w:tab/>
      </w:r>
      <w:r w:rsidRPr="00A350E1">
        <w:rPr>
          <w:rStyle w:val="Bodytext26"/>
          <w:rFonts w:ascii="GHEA Grapalat" w:hAnsi="GHEA Grapalat"/>
          <w:sz w:val="24"/>
          <w:szCs w:val="24"/>
        </w:rPr>
        <w:t>ԵՄ անդամ պետությունների, զարգացման</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 xml:space="preserve">գործընկերների, բիզնես ասոցիացիաների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քաղաքացիական հասարակության այլ կազմակերպությունների ներկայացուցիչները պետք է հրավիրվեն (որպես դիտորդներ) ծրագրի իրականացման մոնիթորինգ իրականացնելու նպատակով։</w:t>
      </w:r>
    </w:p>
    <w:p w:rsidR="00C15D0A" w:rsidRDefault="001A58C9" w:rsidP="002139E2">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t>Ծրագրի ղեկավար կոմիտեն հանդիպում է առնվազն տարին երկու անգամ։</w:t>
      </w:r>
    </w:p>
    <w:p w:rsidR="003C5457" w:rsidRPr="00A350E1" w:rsidRDefault="003C5457" w:rsidP="00A350E1">
      <w:pPr>
        <w:pStyle w:val="Bodytext20"/>
        <w:shd w:val="clear" w:color="auto" w:fill="auto"/>
        <w:spacing w:after="160" w:line="360" w:lineRule="auto"/>
        <w:ind w:right="-1" w:firstLine="0"/>
        <w:jc w:val="both"/>
        <w:rPr>
          <w:rFonts w:ascii="GHEA Grapalat" w:hAnsi="GHEA Grapalat" w:cs="Sylfaen"/>
          <w:sz w:val="24"/>
          <w:szCs w:val="24"/>
        </w:rPr>
      </w:pPr>
    </w:p>
    <w:p w:rsidR="00C15D0A" w:rsidRPr="00A350E1" w:rsidRDefault="001A58C9" w:rsidP="003C5457">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2.5.</w:t>
      </w:r>
      <w:r w:rsidR="003C5457">
        <w:rPr>
          <w:rFonts w:ascii="GHEA Grapalat" w:hAnsi="GHEA Grapalat"/>
          <w:sz w:val="24"/>
          <w:szCs w:val="24"/>
        </w:rPr>
        <w:tab/>
      </w:r>
      <w:r w:rsidRPr="00A350E1">
        <w:rPr>
          <w:rStyle w:val="Heading21"/>
          <w:rFonts w:ascii="GHEA Grapalat" w:hAnsi="GHEA Grapalat"/>
          <w:b/>
          <w:sz w:val="24"/>
          <w:szCs w:val="24"/>
        </w:rPr>
        <w:t>Կատարողականի մոնիթորինգը եւ հաշվետվությունը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առաջընթացի վերաբերյալ պարբերական (առնվազն տարեկան) եւ վերջնական հաշվետվություններ: Յուրաքանչյուր հաշվետվություն տրամադրում է ճշգրիտ 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չափված աստիճանի վերաբերյալ՝ որպես հղում օգտագործելով տրամաբանական կառուցվածքի մատրիցան (որպես ծրագրի միջոց) կամ արդյունքների ցուցանիշների ցանկը (բյուջետային աջակցության համար)։</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Հաշվետվությունը կազմվում է այնպես, որ հնարավոր լինի իրականացնել գործողության համար նախատեսված եւ կիրառված միջոցների ու բյուջետային տվյալների մոնիթորինգ։ Նկարագրական եւ ֆինանսական վերջնական հաշվետվությունը կընդգրկի գործողության իրականացման ամբողջ ժամանակահատվածը։</w:t>
      </w:r>
    </w:p>
    <w:p w:rsidR="00C15D0A" w:rsidRDefault="00856ED4" w:rsidP="003C5457">
      <w:pPr>
        <w:pStyle w:val="Bodytext20"/>
        <w:shd w:val="clear" w:color="auto" w:fill="auto"/>
        <w:spacing w:after="160" w:line="360" w:lineRule="auto"/>
        <w:ind w:right="-1" w:firstLine="567"/>
        <w:jc w:val="both"/>
        <w:rPr>
          <w:rStyle w:val="Bodytext26"/>
          <w:rFonts w:ascii="GHEA Grapalat" w:hAnsi="GHEA Grapalat"/>
          <w:sz w:val="24"/>
          <w:szCs w:val="24"/>
        </w:rPr>
      </w:pPr>
      <w:r w:rsidRPr="00A350E1">
        <w:rPr>
          <w:rStyle w:val="Bodytext26"/>
          <w:rFonts w:ascii="GHEA Grapalat" w:hAnsi="GHEA Grapalat"/>
          <w:sz w:val="24"/>
          <w:szCs w:val="24"/>
        </w:rPr>
        <w:lastRenderedPageBreak/>
        <w:t>Ծրագրի մոնիթորինգի</w:t>
      </w:r>
      <w:r w:rsidR="00D66C5C" w:rsidRPr="00A350E1">
        <w:rPr>
          <w:rStyle w:val="Bodytext26"/>
          <w:rFonts w:ascii="GHEA Grapalat" w:hAnsi="GHEA Grapalat"/>
          <w:sz w:val="24"/>
          <w:szCs w:val="24"/>
        </w:rPr>
        <w:t xml:space="preserve"> նպատակով</w:t>
      </w:r>
      <w:r w:rsidRPr="00A350E1">
        <w:rPr>
          <w:rStyle w:val="Bodytext26"/>
          <w:rFonts w:ascii="GHEA Grapalat" w:hAnsi="GHEA Grapalat"/>
          <w:sz w:val="24"/>
          <w:szCs w:val="24"/>
        </w:rPr>
        <w:t xml:space="preserve"> </w:t>
      </w:r>
      <w:r w:rsidR="001A58C9" w:rsidRPr="00A350E1">
        <w:rPr>
          <w:rStyle w:val="Bodytext26"/>
          <w:rFonts w:ascii="GHEA Grapalat" w:hAnsi="GHEA Grapalat"/>
          <w:sz w:val="24"/>
          <w:szCs w:val="24"/>
        </w:rPr>
        <w:t>Հանձնաժողովը կարող է իրականացնել լրացուցիչ այցեր եւ՛ իր սեփական անձնակազմի, եւ՛ մոնիթորինգի անկախ վերանայումների համար անմիջականորեն Հանձնաժողովի կողմից աշխատանքի ընդունված (կամ այդպիսի վերանայումներ իրականացնելու համար Հանձնաժողովի կողմից վարձված պատասխանատու գործակալի կողմից աշխատանքի ընդունված) անկախ խորհրդատուների միջոցով։</w:t>
      </w:r>
    </w:p>
    <w:p w:rsidR="003C5457" w:rsidRPr="00A350E1" w:rsidRDefault="003C5457" w:rsidP="003C5457">
      <w:pPr>
        <w:pStyle w:val="Bodytext20"/>
        <w:shd w:val="clear" w:color="auto" w:fill="auto"/>
        <w:spacing w:after="160" w:line="360" w:lineRule="auto"/>
        <w:ind w:right="-1" w:firstLine="567"/>
        <w:jc w:val="both"/>
        <w:rPr>
          <w:rFonts w:ascii="GHEA Grapalat" w:hAnsi="GHEA Grapalat" w:cs="Sylfaen"/>
          <w:sz w:val="24"/>
          <w:szCs w:val="24"/>
        </w:rPr>
      </w:pPr>
    </w:p>
    <w:p w:rsidR="00C15D0A" w:rsidRPr="00A350E1" w:rsidRDefault="001A58C9" w:rsidP="003C5457">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2.6.</w:t>
      </w:r>
      <w:r w:rsidR="003C5457">
        <w:rPr>
          <w:rFonts w:ascii="GHEA Grapalat" w:hAnsi="GHEA Grapalat"/>
          <w:sz w:val="24"/>
          <w:szCs w:val="24"/>
        </w:rPr>
        <w:tab/>
      </w:r>
      <w:r w:rsidRPr="00A350E1">
        <w:rPr>
          <w:rStyle w:val="Heading21"/>
          <w:rFonts w:ascii="GHEA Grapalat" w:hAnsi="GHEA Grapalat"/>
          <w:b/>
          <w:sz w:val="24"/>
          <w:szCs w:val="24"/>
        </w:rPr>
        <w:t>Գնահատումը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Հաշվի առնելով գործողության բնույթը՝ սույն գործողության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դրա բաղադրիչների համար Հանձնաժողովի կողմից պայմանավորված համատեղ առաքելությամբ անկախ խորհրդատուների միջոցով իրականացվում է վերջնական հաշվետվություն։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Այն կիրականացվի տարբեր մակարդակներում հաշվետվողականության ապահովման </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ուսուցման նպատակներով (այդ թվում՝ քաղաքականության վերանայման համար)՝ հաշվի առնելով մասնավորապես այն փաստը, որ գործողությամբ պահանջվում է բազմաթիվ իրականացնող գործընկերների միջ</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համապարփակ համակարգում, ինչպես նա</w:t>
      </w:r>
      <w:r w:rsidR="001118B9" w:rsidRPr="00A350E1">
        <w:rPr>
          <w:rStyle w:val="Bodytext26"/>
          <w:rFonts w:ascii="GHEA Grapalat" w:hAnsi="GHEA Grapalat"/>
          <w:sz w:val="24"/>
          <w:szCs w:val="24"/>
        </w:rPr>
        <w:t>եւ</w:t>
      </w:r>
      <w:r w:rsidRPr="00A350E1">
        <w:rPr>
          <w:rStyle w:val="Bodytext26"/>
          <w:rFonts w:ascii="GHEA Grapalat" w:hAnsi="GHEA Grapalat"/>
          <w:sz w:val="24"/>
          <w:szCs w:val="24"/>
        </w:rPr>
        <w:t xml:space="preserve"> միջամտության որոշ ոլորտների քաղաքական զգայունություն։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Հանձնաժողովն առնվազն 1 ամիս առաջ իրականացնող գործընկերոջը տեղեկացնում է գնահատման առաքելությունների իրականացման համար նախատեսված ամսաթվերի մասին։ Իրականացնող գործընկերը խելամիտ եւ արդյունավետ կերպով համագործակցում է գնահատման հարցերով փորձագետների հետ եւ, ի թիվս այլնի, նրանց տրամադրում բոլոր անհրաժեշտ տեղեկությունները եւ փաստաթղթերը, ինչպես նաեւ ապահովում է նախագծի սենքերի եւ աշխատանքների հասանելիությունը։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Գնահատման հաշվետվությունները տրամադրվում են գործընկեր երկրին եւ մյուս հիմնական շահագրգիռ կողմերին։ Իրականացնող գործընկերը եւ </w:t>
      </w:r>
      <w:r w:rsidRPr="00A350E1">
        <w:rPr>
          <w:rStyle w:val="Bodytext26"/>
          <w:rFonts w:ascii="GHEA Grapalat" w:hAnsi="GHEA Grapalat"/>
          <w:sz w:val="24"/>
          <w:szCs w:val="24"/>
        </w:rPr>
        <w:lastRenderedPageBreak/>
        <w:t>Հանձնաժողովը վերլուծում են գնահատման եզրակացություններն ու առաջարկությունները եւ անհրաժեշտության դեպքում գործընկեր երկրի հետ համաձայնության գալով՝ համատեղ որոշում են կայացնում հետագայում ձեռնարկվելիք գործողությունների եւ ցանկացած անհրաժեշտ փոփոխության, այդ թվում՝ ծրագրի ուղղվածության վերափոխման վերաբերյալ, եթե այդ մասին նշվում է։</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Ենթադրաբար, գնահատման ծառայությունների պայմանագրերից մեկը կնքվում է շրջանակային պայմանագրով՝ 2022 թվականի հունիսին։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Գնահատման ֆինանսավորումը պետք է իրականացվի ֆինանսավորման մասին որոշում համարվող մեկ այլ միջոցով։</w:t>
      </w:r>
    </w:p>
    <w:p w:rsidR="003C5457" w:rsidRDefault="003C5457" w:rsidP="00A350E1">
      <w:pPr>
        <w:pStyle w:val="Heading20"/>
        <w:shd w:val="clear" w:color="auto" w:fill="auto"/>
        <w:spacing w:before="0" w:after="160" w:line="360" w:lineRule="auto"/>
        <w:ind w:right="-1"/>
        <w:outlineLvl w:val="9"/>
        <w:rPr>
          <w:rFonts w:ascii="GHEA Grapalat" w:hAnsi="GHEA Grapalat"/>
          <w:sz w:val="24"/>
          <w:szCs w:val="24"/>
        </w:rPr>
      </w:pPr>
    </w:p>
    <w:p w:rsidR="00C15D0A" w:rsidRPr="00A350E1" w:rsidRDefault="001A58C9" w:rsidP="003C5457">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2.7.</w:t>
      </w:r>
      <w:r w:rsidR="003C5457">
        <w:rPr>
          <w:rFonts w:ascii="GHEA Grapalat" w:hAnsi="GHEA Grapalat"/>
          <w:sz w:val="24"/>
          <w:szCs w:val="24"/>
        </w:rPr>
        <w:tab/>
      </w:r>
      <w:r w:rsidRPr="00A350E1">
        <w:rPr>
          <w:rStyle w:val="Heading21"/>
          <w:rFonts w:ascii="GHEA Grapalat" w:hAnsi="GHEA Grapalat"/>
          <w:b/>
          <w:sz w:val="24"/>
          <w:szCs w:val="24"/>
        </w:rPr>
        <w:t>Աուդիտը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Հանձնաժողովը, առանց սույն գործողության իրականացման համար կնքված պայմանագրերի նկատմամբ կիրառելի պարտավորությունները սահմանափակելու, կարող է ռիսկերի գնահատման հիման վրա պայմանագիր կնքել անկախ աուդիտ կամ ծախսերի ստուգում իրականացնելու առաջադրանքների վերաբերյալ՝ մեկ կամ մի քանի պայմանագրերի կամ համաձայնագրերի մասով։</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Ենթադրաբար, աուդիտի ծառայությունների պայմանագրերից մեկը կկնքվի շրջանակային պայմանագրով՝ 2022 թվականի հունիսին։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Աուդիտի ֆինանսավորումը պետք է իրականացվի ֆինանսավորման մասին որոշում համարվող մեկ այլ միջոց</w:t>
      </w:r>
      <w:r w:rsidR="006F1179" w:rsidRPr="00A350E1">
        <w:rPr>
          <w:rStyle w:val="Bodytext26"/>
          <w:rFonts w:ascii="GHEA Grapalat" w:hAnsi="GHEA Grapalat"/>
          <w:sz w:val="24"/>
          <w:szCs w:val="24"/>
        </w:rPr>
        <w:t>առմամբ</w:t>
      </w:r>
      <w:r w:rsidRPr="00A350E1">
        <w:rPr>
          <w:rStyle w:val="Bodytext26"/>
          <w:rFonts w:ascii="GHEA Grapalat" w:hAnsi="GHEA Grapalat"/>
          <w:sz w:val="24"/>
          <w:szCs w:val="24"/>
        </w:rPr>
        <w:t>։</w:t>
      </w:r>
    </w:p>
    <w:p w:rsidR="003C5457" w:rsidRDefault="003C5457" w:rsidP="00A350E1">
      <w:pPr>
        <w:pStyle w:val="Heading20"/>
        <w:shd w:val="clear" w:color="auto" w:fill="auto"/>
        <w:spacing w:before="0" w:after="160" w:line="360" w:lineRule="auto"/>
        <w:ind w:right="-1"/>
        <w:outlineLvl w:val="9"/>
        <w:rPr>
          <w:rFonts w:ascii="GHEA Grapalat" w:hAnsi="GHEA Grapalat"/>
          <w:sz w:val="24"/>
          <w:szCs w:val="24"/>
        </w:rPr>
      </w:pPr>
    </w:p>
    <w:p w:rsidR="00C15D0A" w:rsidRPr="00A350E1" w:rsidRDefault="001A58C9" w:rsidP="003C5457">
      <w:pPr>
        <w:pStyle w:val="Heading20"/>
        <w:shd w:val="clear" w:color="auto" w:fill="auto"/>
        <w:tabs>
          <w:tab w:val="left" w:pos="1134"/>
        </w:tabs>
        <w:spacing w:before="0" w:after="160" w:line="360" w:lineRule="auto"/>
        <w:ind w:right="-1" w:firstLine="567"/>
        <w:jc w:val="left"/>
        <w:outlineLvl w:val="9"/>
        <w:rPr>
          <w:rFonts w:ascii="GHEA Grapalat" w:hAnsi="GHEA Grapalat" w:cs="Sylfaen"/>
          <w:sz w:val="24"/>
          <w:szCs w:val="24"/>
        </w:rPr>
      </w:pPr>
      <w:r w:rsidRPr="00A350E1">
        <w:rPr>
          <w:rFonts w:ascii="GHEA Grapalat" w:hAnsi="GHEA Grapalat"/>
          <w:sz w:val="24"/>
          <w:szCs w:val="24"/>
        </w:rPr>
        <w:t>2.8.</w:t>
      </w:r>
      <w:r w:rsidR="003C5457">
        <w:rPr>
          <w:rFonts w:ascii="GHEA Grapalat" w:hAnsi="GHEA Grapalat"/>
          <w:sz w:val="24"/>
          <w:szCs w:val="24"/>
        </w:rPr>
        <w:tab/>
      </w:r>
      <w:r w:rsidRPr="00A350E1">
        <w:rPr>
          <w:rStyle w:val="Heading21"/>
          <w:rFonts w:ascii="GHEA Grapalat" w:hAnsi="GHEA Grapalat"/>
          <w:b/>
          <w:sz w:val="24"/>
          <w:szCs w:val="24"/>
        </w:rPr>
        <w:t>Հաղորդակցումը եւ տեսանելիությունը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9A77D1">
        <w:rPr>
          <w:rStyle w:val="Bodytext26"/>
          <w:rFonts w:ascii="GHEA Grapalat" w:hAnsi="GHEA Grapalat"/>
          <w:spacing w:val="-6"/>
          <w:sz w:val="24"/>
          <w:szCs w:val="24"/>
        </w:rPr>
        <w:t>ԵՄ հաղորդակցումն ու տեսանելիությունն իրավական պարտավորություն</w:t>
      </w:r>
      <w:r w:rsidR="00A055CE" w:rsidRPr="009A77D1">
        <w:rPr>
          <w:rStyle w:val="Bodytext26"/>
          <w:rFonts w:ascii="GHEA Grapalat" w:hAnsi="GHEA Grapalat"/>
          <w:spacing w:val="-6"/>
          <w:sz w:val="24"/>
          <w:szCs w:val="24"/>
        </w:rPr>
        <w:t>ներ</w:t>
      </w:r>
      <w:r w:rsidR="00A055CE" w:rsidRPr="00A350E1">
        <w:rPr>
          <w:rStyle w:val="Bodytext26"/>
          <w:rFonts w:ascii="GHEA Grapalat" w:hAnsi="GHEA Grapalat"/>
          <w:sz w:val="24"/>
          <w:szCs w:val="24"/>
        </w:rPr>
        <w:t xml:space="preserve"> են</w:t>
      </w:r>
      <w:r w:rsidRPr="00A350E1">
        <w:rPr>
          <w:rStyle w:val="Bodytext26"/>
          <w:rFonts w:ascii="GHEA Grapalat" w:hAnsi="GHEA Grapalat"/>
          <w:sz w:val="24"/>
          <w:szCs w:val="24"/>
        </w:rPr>
        <w:t xml:space="preserve"> ԵՄ</w:t>
      </w:r>
      <w:r w:rsidR="00A055CE" w:rsidRPr="00A350E1">
        <w:rPr>
          <w:rStyle w:val="Bodytext26"/>
          <w:rFonts w:ascii="GHEA Grapalat" w:hAnsi="GHEA Grapalat"/>
          <w:sz w:val="24"/>
          <w:szCs w:val="24"/>
        </w:rPr>
        <w:t>-ի</w:t>
      </w:r>
      <w:r w:rsidRPr="00A350E1">
        <w:rPr>
          <w:rStyle w:val="Bodytext26"/>
          <w:rFonts w:ascii="GHEA Grapalat" w:hAnsi="GHEA Grapalat"/>
          <w:sz w:val="24"/>
          <w:szCs w:val="24"/>
        </w:rPr>
        <w:t xml:space="preserve"> կողմից ֆինանսավորվող բոլոր արտաքին գործողությունների համար:</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lastRenderedPageBreak/>
        <w:t>Սույն գործողությունը ներառում է հաղորդակցության եւ տեսանելիության միջոցառումներ՝ հիմնված Գործողության հաղորդակցության եւ տեսանելիության հատուկ ծրագրի վրա, որը պետք է մշակվի իրականացման սկզբում եւ աջակցություն ստանա վերը նշված 2.3 բաժնում նշված բյուջեից։</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մարմինների կողմից։ Համապատասխան պայմանագրային պարտավորությունները ներառվում են համապատասխանաբար ֆինանսավորման համաձայնագրում, գնման եւ դրամաշնորհային պայմանագրերում, ինչպես նաեւ լիազորությունների փոխանցման մասին համաձայնագրերում։</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«Եվրոպական միության արտաքին գործողությունների համար հաղորդակցության եւ տեսանելիության ձեռնարկ»-ն օգտագործվում է Գործողության հաղորդակցության եւ տեսանելիության ծրագիրը սահմանելու համար, իսկ համապատասխան պայմանագրային պարտավորությունները ներառվում են ֆինանսավորման համաձայնագրերում կամ լիազորությունների փոխանցման մասին համաձայնագրերում։</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Արեւելյան հարեւանության մասով ԵՄ-ի կողմից աջակցություն ստացող բոլոր գործողություններ</w:t>
      </w:r>
      <w:r w:rsidR="00A055CE" w:rsidRPr="00A350E1">
        <w:rPr>
          <w:rStyle w:val="Bodytext26"/>
          <w:rFonts w:ascii="GHEA Grapalat" w:hAnsi="GHEA Grapalat"/>
          <w:sz w:val="24"/>
          <w:szCs w:val="24"/>
        </w:rPr>
        <w:t>ն</w:t>
      </w:r>
      <w:r w:rsidRPr="00A350E1">
        <w:rPr>
          <w:rStyle w:val="Bodytext26"/>
          <w:rFonts w:ascii="GHEA Grapalat" w:hAnsi="GHEA Grapalat"/>
          <w:sz w:val="24"/>
          <w:szCs w:val="24"/>
        </w:rPr>
        <w:t xml:space="preserve"> ուղղված են բարձրացնելու թիրախային լսարանների իրազեկության մակարդակը՝ սույն գործողության շրջանակներում ԵՄ օժանդակության մասով կապերի, արդյունքների եւ քաղաքացիների համար վերջնական գործնական օգուտների վերաբերյալ: Տեսանելիության գործողությունները նաեւ պետք է խթանեն միջոցների օգտագործման թափանցիկությունը եւ հաշվետվողականությունը:</w:t>
      </w:r>
    </w:p>
    <w:p w:rsidR="00C15D0A" w:rsidRPr="00A350E1" w:rsidRDefault="00E221C1"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Տեղեկացվածության </w:t>
      </w:r>
      <w:r w:rsidR="001A58C9" w:rsidRPr="00A350E1">
        <w:rPr>
          <w:rStyle w:val="Bodytext26"/>
          <w:rFonts w:ascii="GHEA Grapalat" w:hAnsi="GHEA Grapalat"/>
          <w:sz w:val="24"/>
          <w:szCs w:val="24"/>
        </w:rPr>
        <w:t>(իրազեկության</w:t>
      </w:r>
      <w:r w:rsidR="00BC74E2" w:rsidRPr="00A350E1">
        <w:rPr>
          <w:rStyle w:val="Bodytext26"/>
          <w:rFonts w:ascii="GHEA Grapalat" w:hAnsi="GHEA Grapalat"/>
          <w:sz w:val="24"/>
          <w:szCs w:val="24"/>
        </w:rPr>
        <w:t xml:space="preserve">) </w:t>
      </w:r>
      <w:r w:rsidR="001A58C9" w:rsidRPr="00A350E1">
        <w:rPr>
          <w:rStyle w:val="Bodytext26"/>
          <w:rFonts w:ascii="GHEA Grapalat" w:hAnsi="GHEA Grapalat"/>
          <w:sz w:val="24"/>
          <w:szCs w:val="24"/>
        </w:rPr>
        <w:t xml:space="preserve">բարձրացման գործողությունները վճռական դեր կխաղան սույն գործողության իրականացման գործում. </w:t>
      </w:r>
      <w:r w:rsidR="001A58C9" w:rsidRPr="00A350E1">
        <w:rPr>
          <w:rStyle w:val="Bodytext26"/>
          <w:rFonts w:ascii="GHEA Grapalat" w:hAnsi="GHEA Grapalat"/>
          <w:sz w:val="24"/>
          <w:szCs w:val="24"/>
        </w:rPr>
        <w:lastRenderedPageBreak/>
        <w:t>բյուջետային աջակցության դեպքում ազգային կառավարությունը կապահովի ԵՄ օժանդակության տեսանելիության պատշաճ լուսաբանումը լրատվական միջոցների կողմից: Հաղորդակցման գործողությունների իրականացումը կհանդիսանա իրականացնող կազմակերպությունների պատասխանատվությունը եւ կֆինանսավորվի Գործողությանը հատկացված միջոցներից:</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Բոլոր անհրաժեշտ միջոցները կձեռնարկվեն հանրայնացնելու համար այն փաստը, որ գործողությունը ֆինանսավորում է ստացել ԵՄ-ից՝ «Եվրոպական միության արտաքին գործողությունների համար հաղորդակցության եւ տեսանելիության ձեռնարկ</w:t>
      </w:r>
      <w:r w:rsidR="00E000C8" w:rsidRPr="00A350E1">
        <w:rPr>
          <w:rStyle w:val="Bodytext26"/>
          <w:rFonts w:ascii="GHEA Grapalat" w:hAnsi="GHEA Grapalat"/>
          <w:sz w:val="24"/>
          <w:szCs w:val="24"/>
        </w:rPr>
        <w:t>ին</w:t>
      </w:r>
      <w:r w:rsidRPr="00A350E1">
        <w:rPr>
          <w:rStyle w:val="Bodytext26"/>
          <w:rFonts w:ascii="GHEA Grapalat" w:hAnsi="GHEA Grapalat"/>
          <w:sz w:val="24"/>
          <w:szCs w:val="24"/>
        </w:rPr>
        <w:t>» համապատասխան: Հանձնաժողովի կողմից մշակված լրացուցիչ Տեսանելիության ուղեցույցները (Եվրոպական հարեւանության քաղաքականության եւ ընդլայնման բանակցություններ) խստորեն կպահպանվեն: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Անհրաժեշտության դեպքում կիրառվում են Եվրոպական միության եւ ընտրված միջազգային կազմակերպության միջեւ կնքված Ֆինանսական եւ վարչական շրջանակի համաձայնագրի դրույթները:</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ԵՄ պատվիրակություններին եւ անհրաժեշտության դեպքում Հարեւանության եւ ընդլայնման բանակցությունների հարցերով գլխավոր տնօրինությանը համապատասխան ուղենիշներին հատուկ տեսանելիության եւ հաղորդակցման գործողությունների պլանավորման ու իրականացման մասին լիովին տեղեկացնելն իրականացնող կազմակերպության պարտավորությունն է:</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Իրականացնող կազմակերպությունը զեկուցում է տեսանելիության եւ հաղորդակցման իր գործողությունների, ինչպես նաեւ մոնիթորինգի համապատասխան հանձնաժողովների ընդհանուր գործողության արդյունքների մասին:</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 xml:space="preserve">Սույն գործողությունը հանրությանը կներկայացվի որպես երկրին, իսկ անհրաժեշտության դեպքում Արեւելյան համագործակցության տարածաշրջանին ցուցաբերվող ԵՄ աջակցության առավել լայն համատեքստի մի մաս՝ </w:t>
      </w:r>
      <w:r w:rsidRPr="00A350E1">
        <w:rPr>
          <w:rStyle w:val="Bodytext26"/>
          <w:rFonts w:ascii="GHEA Grapalat" w:hAnsi="GHEA Grapalat"/>
          <w:sz w:val="24"/>
          <w:szCs w:val="24"/>
        </w:rPr>
        <w:lastRenderedPageBreak/>
        <w:t>հաղորդակցման գործողությունների արդյունավետությունը բարձրացնելու եվ ԵՄ հաղորդակցման ոլորտում մասնատվածությունը նվազեցնելու համար:</w:t>
      </w:r>
    </w:p>
    <w:p w:rsidR="00C15D0A" w:rsidRPr="00A350E1" w:rsidRDefault="001A58C9" w:rsidP="003C5457">
      <w:pPr>
        <w:pStyle w:val="Bodytext20"/>
        <w:shd w:val="clear" w:color="auto" w:fill="auto"/>
        <w:spacing w:after="160" w:line="360" w:lineRule="auto"/>
        <w:ind w:right="-1" w:firstLine="567"/>
        <w:jc w:val="both"/>
        <w:rPr>
          <w:rFonts w:ascii="GHEA Grapalat" w:hAnsi="GHEA Grapalat" w:cs="Sylfaen"/>
          <w:sz w:val="24"/>
          <w:szCs w:val="24"/>
        </w:rPr>
      </w:pPr>
      <w:r w:rsidRPr="00A350E1">
        <w:rPr>
          <w:rStyle w:val="Bodytext26"/>
          <w:rFonts w:ascii="GHEA Grapalat" w:hAnsi="GHEA Grapalat"/>
          <w:sz w:val="24"/>
          <w:szCs w:val="24"/>
        </w:rPr>
        <w:t>Իրականացնող կազմակերպությունը համակարգում է ԵՄ պատվիրակությունների հետ հաղորդակցման բոլոր գործողությունները, ինչպես նաեւ հնարավորության սահմաններում՝ Եվրոպական հանձնաժողովի կողմից ֆինանսավորվող տարածաշրջանային հաղորդակցման նախաձեռնությունները:</w:t>
      </w:r>
      <w:r w:rsidR="00A350E1">
        <w:rPr>
          <w:rStyle w:val="Bodytext26"/>
          <w:rFonts w:ascii="GHEA Grapalat" w:hAnsi="GHEA Grapalat"/>
          <w:sz w:val="24"/>
          <w:szCs w:val="24"/>
        </w:rPr>
        <w:t xml:space="preserve"> </w:t>
      </w:r>
      <w:r w:rsidRPr="00A350E1">
        <w:rPr>
          <w:rStyle w:val="Bodytext26"/>
          <w:rFonts w:ascii="GHEA Grapalat" w:hAnsi="GHEA Grapalat"/>
          <w:sz w:val="24"/>
          <w:szCs w:val="24"/>
        </w:rPr>
        <w:t>Որպես սույն գործողության մաս մշակված հաղորդակցման բոլոր ռազմավարություններն ապահովում են դրանց համապատասխանությունը Եվրոպական հանձնաժողովի կողմից աջակցություն ցուցաբերվող տարածաշրջանային հաղորդակցման նախաձեռնությունների առաջնահերթություններին եւ նպատակներին ու ԵՄ պատվիրակության՝ «ԵՄ-ն Հայաստանի համար» (</w:t>
      </w:r>
      <w:r w:rsidR="00A055CE" w:rsidRPr="00A350E1">
        <w:rPr>
          <w:rStyle w:val="Bodytext26"/>
          <w:rFonts w:ascii="GHEA Grapalat" w:hAnsi="GHEA Grapalat"/>
          <w:sz w:val="24"/>
          <w:szCs w:val="24"/>
        </w:rPr>
        <w:t>«</w:t>
      </w:r>
      <w:r w:rsidRPr="00A350E1">
        <w:rPr>
          <w:rStyle w:val="Bodytext26"/>
          <w:rFonts w:ascii="GHEA Grapalat" w:hAnsi="GHEA Grapalat"/>
          <w:sz w:val="24"/>
          <w:szCs w:val="24"/>
        </w:rPr>
        <w:t>EU4Armenia</w:t>
      </w:r>
      <w:r w:rsidR="00A055CE" w:rsidRPr="00A350E1">
        <w:rPr>
          <w:rStyle w:val="Bodytext26"/>
          <w:rFonts w:ascii="GHEA Grapalat" w:hAnsi="GHEA Grapalat"/>
          <w:sz w:val="24"/>
          <w:szCs w:val="24"/>
        </w:rPr>
        <w:t>»</w:t>
      </w:r>
      <w:r w:rsidRPr="00A350E1">
        <w:rPr>
          <w:rStyle w:val="Bodytext26"/>
          <w:rFonts w:ascii="GHEA Grapalat" w:hAnsi="GHEA Grapalat"/>
          <w:sz w:val="24"/>
          <w:szCs w:val="24"/>
        </w:rPr>
        <w:t>) հավաքական նախաձեռնության հաղորդակցման համապատասխան ռազմավարությանը:</w:t>
      </w:r>
    </w:p>
    <w:p w:rsidR="003C5457" w:rsidRDefault="003C5457" w:rsidP="00A350E1">
      <w:pPr>
        <w:pStyle w:val="Heading20"/>
        <w:shd w:val="clear" w:color="auto" w:fill="auto"/>
        <w:spacing w:before="0" w:after="160" w:line="360" w:lineRule="auto"/>
        <w:ind w:right="-1"/>
        <w:outlineLvl w:val="9"/>
        <w:rPr>
          <w:rFonts w:ascii="GHEA Grapalat" w:hAnsi="GHEA Grapalat"/>
          <w:sz w:val="24"/>
          <w:szCs w:val="24"/>
        </w:rPr>
      </w:pPr>
    </w:p>
    <w:p w:rsidR="003C5457" w:rsidRDefault="001A58C9" w:rsidP="00A350E1">
      <w:pPr>
        <w:pStyle w:val="Heading20"/>
        <w:shd w:val="clear" w:color="auto" w:fill="auto"/>
        <w:spacing w:before="0" w:after="160" w:line="360" w:lineRule="auto"/>
        <w:ind w:right="-1"/>
        <w:outlineLvl w:val="9"/>
        <w:rPr>
          <w:rStyle w:val="Heading21"/>
          <w:rFonts w:ascii="GHEA Grapalat" w:hAnsi="GHEA Grapalat" w:cs="Sylfaen"/>
          <w:b/>
          <w:bCs/>
          <w:sz w:val="24"/>
          <w:szCs w:val="24"/>
        </w:rPr>
      </w:pPr>
      <w:r w:rsidRPr="00A350E1">
        <w:rPr>
          <w:rFonts w:ascii="GHEA Grapalat" w:hAnsi="GHEA Grapalat"/>
          <w:sz w:val="24"/>
          <w:szCs w:val="24"/>
        </w:rPr>
        <w:t xml:space="preserve">3. </w:t>
      </w:r>
      <w:r w:rsidRPr="00A350E1">
        <w:rPr>
          <w:rStyle w:val="Heading21"/>
          <w:rFonts w:ascii="GHEA Grapalat" w:hAnsi="GHEA Grapalat"/>
          <w:b/>
          <w:sz w:val="24"/>
          <w:szCs w:val="24"/>
        </w:rPr>
        <w:t>Նախապայմաններ</w:t>
      </w:r>
    </w:p>
    <w:p w:rsidR="00C15D0A" w:rsidRPr="00A350E1" w:rsidRDefault="001A58C9" w:rsidP="00A350E1">
      <w:pPr>
        <w:pStyle w:val="Heading20"/>
        <w:shd w:val="clear" w:color="auto" w:fill="auto"/>
        <w:spacing w:before="0" w:after="160" w:line="360" w:lineRule="auto"/>
        <w:ind w:right="-1"/>
        <w:outlineLvl w:val="9"/>
        <w:rPr>
          <w:rFonts w:ascii="GHEA Grapalat" w:hAnsi="GHEA Grapalat" w:cs="Sylfaen"/>
          <w:sz w:val="24"/>
          <w:szCs w:val="24"/>
        </w:rPr>
      </w:pPr>
      <w:r w:rsidRPr="00A350E1">
        <w:rPr>
          <w:rStyle w:val="Heading21"/>
          <w:rFonts w:ascii="GHEA Grapalat" w:hAnsi="GHEA Grapalat"/>
          <w:b/>
          <w:sz w:val="24"/>
          <w:szCs w:val="24"/>
        </w:rPr>
        <w:t>ԱՌԿԱ ՉԵՆ</w:t>
      </w:r>
    </w:p>
    <w:p w:rsidR="003C5457" w:rsidRDefault="003C5457" w:rsidP="00A350E1">
      <w:pPr>
        <w:pStyle w:val="Bodytext50"/>
        <w:shd w:val="clear" w:color="auto" w:fill="auto"/>
        <w:spacing w:before="0" w:after="160" w:line="360" w:lineRule="auto"/>
        <w:ind w:right="-1"/>
        <w:rPr>
          <w:rStyle w:val="Bodytext52"/>
          <w:rFonts w:ascii="GHEA Grapalat" w:hAnsi="GHEA Grapalat"/>
          <w:b/>
          <w:sz w:val="24"/>
          <w:szCs w:val="24"/>
        </w:rPr>
      </w:pPr>
    </w:p>
    <w:p w:rsidR="00C15D0A" w:rsidRPr="00A350E1" w:rsidRDefault="001A58C9" w:rsidP="00A350E1">
      <w:pPr>
        <w:pStyle w:val="Bodytext50"/>
        <w:shd w:val="clear" w:color="auto" w:fill="auto"/>
        <w:spacing w:before="0" w:after="160" w:line="360" w:lineRule="auto"/>
        <w:ind w:right="-1"/>
        <w:rPr>
          <w:rFonts w:ascii="GHEA Grapalat" w:hAnsi="GHEA Grapalat" w:cs="Sylfaen"/>
          <w:sz w:val="24"/>
          <w:szCs w:val="24"/>
        </w:rPr>
      </w:pPr>
      <w:r w:rsidRPr="00A350E1">
        <w:rPr>
          <w:rStyle w:val="Bodytext52"/>
          <w:rFonts w:ascii="GHEA Grapalat" w:hAnsi="GHEA Grapalat"/>
          <w:b/>
          <w:sz w:val="24"/>
          <w:szCs w:val="24"/>
        </w:rPr>
        <w:t>ՀԱՎԵԼՎԱԾՆԵՐ</w:t>
      </w:r>
    </w:p>
    <w:p w:rsidR="00C15D0A" w:rsidRPr="00A350E1" w:rsidRDefault="001A58C9" w:rsidP="00A350E1">
      <w:pPr>
        <w:pStyle w:val="Bodytext20"/>
        <w:shd w:val="clear" w:color="auto" w:fill="auto"/>
        <w:spacing w:after="160" w:line="360" w:lineRule="auto"/>
        <w:ind w:right="-1" w:firstLine="0"/>
        <w:jc w:val="both"/>
        <w:rPr>
          <w:rFonts w:ascii="GHEA Grapalat" w:hAnsi="GHEA Grapalat" w:cs="Sylfaen"/>
          <w:sz w:val="24"/>
          <w:szCs w:val="24"/>
        </w:rPr>
      </w:pPr>
      <w:r w:rsidRPr="00A350E1">
        <w:rPr>
          <w:rStyle w:val="Bodytext26"/>
          <w:rFonts w:ascii="GHEA Grapalat" w:hAnsi="GHEA Grapalat"/>
          <w:sz w:val="24"/>
          <w:szCs w:val="24"/>
        </w:rPr>
        <w:t xml:space="preserve">Տրամաբանական կառուցվածքի մատրիցա </w:t>
      </w:r>
    </w:p>
    <w:p w:rsidR="001A58C9" w:rsidRPr="00A350E1" w:rsidRDefault="001A58C9" w:rsidP="00A350E1">
      <w:pPr>
        <w:spacing w:after="160" w:line="360" w:lineRule="auto"/>
        <w:ind w:right="-1"/>
        <w:jc w:val="both"/>
        <w:rPr>
          <w:rFonts w:ascii="GHEA Grapalat" w:hAnsi="GHEA Grapalat" w:cs="Sylfaen"/>
        </w:rPr>
      </w:pPr>
    </w:p>
    <w:p w:rsidR="00C15D0A" w:rsidRPr="00A350E1" w:rsidRDefault="00C15D0A" w:rsidP="00A350E1">
      <w:pPr>
        <w:spacing w:after="160" w:line="360" w:lineRule="auto"/>
        <w:ind w:right="-1"/>
        <w:jc w:val="both"/>
        <w:rPr>
          <w:rFonts w:ascii="GHEA Grapalat" w:hAnsi="GHEA Grapalat" w:cs="Sylfaen"/>
        </w:rPr>
        <w:sectPr w:rsidR="00C15D0A" w:rsidRPr="00A350E1" w:rsidSect="003F7011">
          <w:footerReference w:type="default" r:id="rId9"/>
          <w:type w:val="continuous"/>
          <w:pgSz w:w="11907" w:h="16839" w:code="9"/>
          <w:pgMar w:top="1418" w:right="1418" w:bottom="1418" w:left="1418" w:header="0" w:footer="786" w:gutter="0"/>
          <w:cols w:space="720"/>
          <w:noEndnote/>
          <w:titlePg/>
          <w:docGrid w:linePitch="360"/>
        </w:sectPr>
      </w:pPr>
    </w:p>
    <w:p w:rsidR="00C15D0A" w:rsidRPr="003C5457" w:rsidRDefault="001A58C9" w:rsidP="003C5457">
      <w:pPr>
        <w:pStyle w:val="Bodytext30"/>
        <w:shd w:val="clear" w:color="auto" w:fill="auto"/>
        <w:tabs>
          <w:tab w:val="left" w:pos="1134"/>
        </w:tabs>
        <w:spacing w:after="160" w:line="360" w:lineRule="auto"/>
        <w:ind w:right="-1" w:firstLine="567"/>
        <w:jc w:val="left"/>
        <w:rPr>
          <w:rFonts w:ascii="GHEA Grapalat" w:hAnsi="GHEA Grapalat" w:cs="Sylfaen"/>
          <w:b w:val="0"/>
          <w:sz w:val="24"/>
          <w:szCs w:val="24"/>
        </w:rPr>
      </w:pPr>
      <w:r w:rsidRPr="003C5457">
        <w:rPr>
          <w:rStyle w:val="Bodytext311pt"/>
          <w:rFonts w:ascii="GHEA Grapalat" w:hAnsi="GHEA Grapalat"/>
          <w:b/>
          <w:sz w:val="24"/>
          <w:szCs w:val="24"/>
        </w:rPr>
        <w:lastRenderedPageBreak/>
        <w:t>1.</w:t>
      </w:r>
      <w:r w:rsidR="003C5457">
        <w:rPr>
          <w:rStyle w:val="Bodytext311pt"/>
          <w:rFonts w:ascii="GHEA Grapalat" w:hAnsi="GHEA Grapalat"/>
          <w:b/>
          <w:sz w:val="24"/>
          <w:szCs w:val="24"/>
        </w:rPr>
        <w:tab/>
      </w:r>
      <w:r w:rsidRPr="003C5457">
        <w:rPr>
          <w:rStyle w:val="Bodytext311pt"/>
          <w:rFonts w:ascii="GHEA Grapalat" w:hAnsi="GHEA Grapalat"/>
          <w:b/>
          <w:sz w:val="24"/>
          <w:szCs w:val="24"/>
        </w:rPr>
        <w:t>ԱՌԴԻՐ</w:t>
      </w:r>
      <w:r w:rsidRPr="003C5457">
        <w:rPr>
          <w:rFonts w:ascii="GHEA Grapalat" w:hAnsi="GHEA Grapalat"/>
          <w:b w:val="0"/>
          <w:sz w:val="24"/>
          <w:szCs w:val="24"/>
        </w:rPr>
        <w:t>.</w:t>
      </w:r>
      <w:r w:rsidRPr="003C5457">
        <w:rPr>
          <w:rStyle w:val="Bodytext3SmallCaps"/>
          <w:rFonts w:ascii="GHEA Grapalat" w:hAnsi="GHEA Grapalat"/>
          <w:b/>
          <w:sz w:val="24"/>
          <w:szCs w:val="24"/>
        </w:rPr>
        <w:t xml:space="preserve"> Տրամաբանական կառուցվածքի մատրիցա (որպես ծրագրի միջոց)</w:t>
      </w:r>
    </w:p>
    <w:p w:rsidR="003C5457" w:rsidRDefault="001A58C9" w:rsidP="003C5457">
      <w:pPr>
        <w:pStyle w:val="Bodytext70"/>
        <w:shd w:val="clear" w:color="auto" w:fill="auto"/>
        <w:spacing w:before="0" w:after="160" w:line="360" w:lineRule="auto"/>
        <w:ind w:right="-1" w:firstLine="567"/>
        <w:rPr>
          <w:rStyle w:val="Bodytext71"/>
          <w:rFonts w:ascii="GHEA Grapalat" w:hAnsi="GHEA Grapalat"/>
          <w:sz w:val="24"/>
          <w:szCs w:val="24"/>
        </w:rPr>
      </w:pPr>
      <w:r w:rsidRPr="00A350E1">
        <w:rPr>
          <w:rStyle w:val="Bodytext71"/>
          <w:rFonts w:ascii="GHEA Grapalat" w:hAnsi="GHEA Grapalat"/>
          <w:sz w:val="24"/>
          <w:szCs w:val="24"/>
        </w:rPr>
        <w:t xml:space="preserve">Տրամաբանական կառուցվածքի մատրիցայում ներառված գործողությունները, ակնկալվող արդյունքներն ու բոլոր ցուցանիշները, թիրախներն ու ելակետային ցուցանիշները կողմնորոշիչ են եւ կարող են թարմացվել գործողության իրականացման ընթացքում՝ առանց ֆինանսավորման </w:t>
      </w:r>
      <w:r w:rsidR="00E000C8" w:rsidRPr="00A350E1">
        <w:rPr>
          <w:rStyle w:val="Bodytext71"/>
          <w:rFonts w:ascii="GHEA Grapalat" w:hAnsi="GHEA Grapalat"/>
          <w:sz w:val="24"/>
          <w:szCs w:val="24"/>
        </w:rPr>
        <w:t xml:space="preserve">վերաբերյալ </w:t>
      </w:r>
      <w:r w:rsidRPr="00A350E1">
        <w:rPr>
          <w:rStyle w:val="Bodytext71"/>
          <w:rFonts w:ascii="GHEA Grapalat" w:hAnsi="GHEA Grapalat"/>
          <w:sz w:val="24"/>
          <w:szCs w:val="24"/>
        </w:rPr>
        <w:t>որոշման մեջ փոփոխություն կատարելու: Այն դեպքում, երբ ձ</w:t>
      </w:r>
      <w:r w:rsidR="001118B9" w:rsidRPr="00A350E1">
        <w:rPr>
          <w:rStyle w:val="Bodytext71"/>
          <w:rFonts w:ascii="GHEA Grapalat" w:hAnsi="GHEA Grapalat"/>
          <w:sz w:val="24"/>
          <w:szCs w:val="24"/>
        </w:rPr>
        <w:t>եւ</w:t>
      </w:r>
      <w:r w:rsidRPr="00A350E1">
        <w:rPr>
          <w:rStyle w:val="Bodytext71"/>
          <w:rFonts w:ascii="GHEA Grapalat" w:hAnsi="GHEA Grapalat"/>
          <w:sz w:val="24"/>
          <w:szCs w:val="24"/>
        </w:rPr>
        <w:t xml:space="preserve">ավորման փուլում հնարավոր չէ որոշել գործողության վերջնարդյունքները, պետք է ներկայացնել միջանկյալ արդյունքները </w:t>
      </w:r>
      <w:r w:rsidR="001118B9" w:rsidRPr="00A350E1">
        <w:rPr>
          <w:rStyle w:val="Bodytext71"/>
          <w:rFonts w:ascii="GHEA Grapalat" w:hAnsi="GHEA Grapalat"/>
          <w:sz w:val="24"/>
          <w:szCs w:val="24"/>
        </w:rPr>
        <w:t>եւ</w:t>
      </w:r>
      <w:r w:rsidRPr="00A350E1">
        <w:rPr>
          <w:rStyle w:val="Bodytext71"/>
          <w:rFonts w:ascii="GHEA Grapalat" w:hAnsi="GHEA Grapalat"/>
          <w:sz w:val="24"/>
          <w:szCs w:val="24"/>
        </w:rPr>
        <w:t xml:space="preserve"> ընդհանուր ծրագրի ու դրա բաղադրիչների իրականացման մեկնարկային փուլում սահմանված վերջնարդյունքները։ Տրամաբանական կառուցվածքի մատրիցան կենթարկվի փոփոխությունների</w:t>
      </w:r>
      <w:r w:rsidR="00A055CE" w:rsidRPr="00A350E1">
        <w:rPr>
          <w:rStyle w:val="Bodytext71"/>
          <w:rFonts w:ascii="GHEA Grapalat" w:hAnsi="GHEA Grapalat"/>
          <w:sz w:val="24"/>
          <w:szCs w:val="24"/>
        </w:rPr>
        <w:t>՝</w:t>
      </w:r>
      <w:r w:rsidRPr="00A350E1">
        <w:rPr>
          <w:rStyle w:val="Bodytext71"/>
          <w:rFonts w:ascii="GHEA Grapalat" w:hAnsi="GHEA Grapalat"/>
          <w:sz w:val="24"/>
          <w:szCs w:val="24"/>
        </w:rPr>
        <w:t xml:space="preserve"> գործողության իրականացման ամբողջ ժամանակահատվածի ընթացքում. կավելացվեն նոր տողեր, ինչպես նաեւ սյունակներ՝ վերջնարդյունքի միջանկյալ թիրախների (ուղենիշների) </w:t>
      </w:r>
      <w:r w:rsidR="001118B9" w:rsidRPr="00A350E1">
        <w:rPr>
          <w:rStyle w:val="Bodytext71"/>
          <w:rFonts w:ascii="GHEA Grapalat" w:hAnsi="GHEA Grapalat"/>
          <w:sz w:val="24"/>
          <w:szCs w:val="24"/>
        </w:rPr>
        <w:t>եւ</w:t>
      </w:r>
      <w:r w:rsidRPr="00A350E1">
        <w:rPr>
          <w:rStyle w:val="Bodytext71"/>
          <w:rFonts w:ascii="GHEA Grapalat" w:hAnsi="GHEA Grapalat"/>
          <w:sz w:val="24"/>
          <w:szCs w:val="24"/>
        </w:rPr>
        <w:t xml:space="preserve"> արդյունքի ցուցանիշների համար՝ անհրաժեշտության դեպքում մոնիթորինգի </w:t>
      </w:r>
      <w:r w:rsidR="001118B9" w:rsidRPr="00A350E1">
        <w:rPr>
          <w:rStyle w:val="Bodytext71"/>
          <w:rFonts w:ascii="GHEA Grapalat" w:hAnsi="GHEA Grapalat"/>
          <w:sz w:val="24"/>
          <w:szCs w:val="24"/>
        </w:rPr>
        <w:t>եւ</w:t>
      </w:r>
      <w:r w:rsidRPr="00A350E1">
        <w:rPr>
          <w:rStyle w:val="Bodytext71"/>
          <w:rFonts w:ascii="GHEA Grapalat" w:hAnsi="GHEA Grapalat"/>
          <w:sz w:val="24"/>
          <w:szCs w:val="24"/>
        </w:rPr>
        <w:t xml:space="preserve"> հաշվետվության նպատակով: Հաշվի առեք նա</w:t>
      </w:r>
      <w:r w:rsidR="001118B9" w:rsidRPr="00A350E1">
        <w:rPr>
          <w:rStyle w:val="Bodytext71"/>
          <w:rFonts w:ascii="GHEA Grapalat" w:hAnsi="GHEA Grapalat"/>
          <w:sz w:val="24"/>
          <w:szCs w:val="24"/>
        </w:rPr>
        <w:t>եւ</w:t>
      </w:r>
      <w:r w:rsidRPr="00A350E1">
        <w:rPr>
          <w:rStyle w:val="Bodytext71"/>
          <w:rFonts w:ascii="GHEA Grapalat" w:hAnsi="GHEA Grapalat"/>
          <w:sz w:val="24"/>
          <w:szCs w:val="24"/>
        </w:rPr>
        <w:t xml:space="preserve"> այն, որ ցուցանիշներ</w:t>
      </w:r>
      <w:r w:rsidR="00795DAD" w:rsidRPr="00A350E1">
        <w:rPr>
          <w:rStyle w:val="Bodytext71"/>
          <w:rFonts w:ascii="GHEA Grapalat" w:hAnsi="GHEA Grapalat"/>
          <w:sz w:val="24"/>
          <w:szCs w:val="24"/>
        </w:rPr>
        <w:t>ն</w:t>
      </w:r>
      <w:r w:rsidRPr="00A350E1">
        <w:rPr>
          <w:rStyle w:val="Bodytext71"/>
          <w:rFonts w:ascii="GHEA Grapalat" w:hAnsi="GHEA Grapalat"/>
          <w:sz w:val="24"/>
          <w:szCs w:val="24"/>
        </w:rPr>
        <w:t xml:space="preserve"> անհրաժեշտության դեպքում պետք է տարբերակել ըստ </w:t>
      </w:r>
      <w:r w:rsidR="00F40877" w:rsidRPr="00A350E1">
        <w:rPr>
          <w:rStyle w:val="Bodytext71"/>
          <w:rFonts w:ascii="GHEA Grapalat" w:hAnsi="GHEA Grapalat"/>
          <w:sz w:val="24"/>
          <w:szCs w:val="24"/>
        </w:rPr>
        <w:t>հիմնական խմբերի</w:t>
      </w:r>
      <w:r w:rsidRPr="00A350E1">
        <w:rPr>
          <w:rStyle w:val="Bodytext71"/>
          <w:rFonts w:ascii="GHEA Grapalat" w:hAnsi="GHEA Grapalat"/>
          <w:sz w:val="24"/>
          <w:szCs w:val="24"/>
        </w:rPr>
        <w:t>։</w:t>
      </w:r>
    </w:p>
    <w:p w:rsidR="003C5457" w:rsidRDefault="003C5457">
      <w:pPr>
        <w:rPr>
          <w:rStyle w:val="Bodytext71"/>
          <w:rFonts w:ascii="GHEA Grapalat" w:eastAsia="Segoe UI" w:hAnsi="GHEA Grapalat"/>
          <w:sz w:val="24"/>
          <w:szCs w:val="24"/>
        </w:rPr>
      </w:pPr>
      <w:r>
        <w:rPr>
          <w:rStyle w:val="Bodytext71"/>
          <w:rFonts w:ascii="GHEA Grapalat" w:eastAsia="Segoe UI" w:hAnsi="GHEA Grapalat"/>
          <w:sz w:val="24"/>
          <w:szCs w:val="24"/>
        </w:rPr>
        <w:br w:type="page"/>
      </w:r>
    </w:p>
    <w:tbl>
      <w:tblPr>
        <w:tblStyle w:val="TableGrid"/>
        <w:tblW w:w="14459" w:type="dxa"/>
        <w:tblInd w:w="-176" w:type="dxa"/>
        <w:tblLayout w:type="fixed"/>
        <w:tblLook w:val="0000"/>
      </w:tblPr>
      <w:tblGrid>
        <w:gridCol w:w="1702"/>
        <w:gridCol w:w="10"/>
        <w:gridCol w:w="2562"/>
        <w:gridCol w:w="6"/>
        <w:gridCol w:w="2383"/>
        <w:gridCol w:w="1852"/>
        <w:gridCol w:w="1550"/>
        <w:gridCol w:w="2126"/>
        <w:gridCol w:w="2268"/>
      </w:tblGrid>
      <w:tr w:rsidR="0039424C" w:rsidRPr="003C5457" w:rsidTr="00E975C7">
        <w:tc>
          <w:tcPr>
            <w:tcW w:w="1702" w:type="dxa"/>
            <w:shd w:val="clear" w:color="auto" w:fill="D9D9D9" w:themeFill="background1" w:themeFillShade="D9"/>
          </w:tcPr>
          <w:p w:rsidR="0039424C" w:rsidRPr="003C5457" w:rsidRDefault="0039424C" w:rsidP="0039424C">
            <w:pPr>
              <w:spacing w:after="120"/>
              <w:ind w:right="-1"/>
              <w:jc w:val="both"/>
              <w:rPr>
                <w:rFonts w:ascii="GHEA Grapalat" w:hAnsi="GHEA Grapalat" w:cs="Sylfaen"/>
                <w:sz w:val="20"/>
                <w:szCs w:val="20"/>
              </w:rPr>
            </w:pPr>
          </w:p>
        </w:tc>
        <w:tc>
          <w:tcPr>
            <w:tcW w:w="2578" w:type="dxa"/>
            <w:gridSpan w:val="3"/>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Արդյունքների շղթա</w:t>
            </w:r>
          </w:p>
        </w:tc>
        <w:tc>
          <w:tcPr>
            <w:tcW w:w="2383" w:type="dxa"/>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Ցուցանիշներ</w:t>
            </w:r>
          </w:p>
        </w:tc>
        <w:tc>
          <w:tcPr>
            <w:tcW w:w="1852" w:type="dxa"/>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Style w:val="Bodytext29pt0"/>
                <w:rFonts w:ascii="GHEA Grapalat" w:hAnsi="GHEA Grapalat" w:cs="Sylfaen"/>
                <w:sz w:val="20"/>
                <w:szCs w:val="20"/>
              </w:rPr>
            </w:pPr>
            <w:r w:rsidRPr="003C5457">
              <w:rPr>
                <w:rStyle w:val="Bodytext29pt0"/>
                <w:rFonts w:ascii="GHEA Grapalat" w:hAnsi="GHEA Grapalat"/>
                <w:sz w:val="20"/>
                <w:szCs w:val="20"/>
              </w:rPr>
              <w:t>Ելակետեր</w:t>
            </w:r>
          </w:p>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(2018)</w:t>
            </w:r>
          </w:p>
        </w:tc>
        <w:tc>
          <w:tcPr>
            <w:tcW w:w="1550" w:type="dxa"/>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Թիրախներ</w:t>
            </w:r>
          </w:p>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(2026)</w:t>
            </w:r>
          </w:p>
        </w:tc>
        <w:tc>
          <w:tcPr>
            <w:tcW w:w="2126" w:type="dxa"/>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Ստուգման աղբյուրներ եւ միջոցներ</w:t>
            </w:r>
          </w:p>
        </w:tc>
        <w:tc>
          <w:tcPr>
            <w:tcW w:w="2268" w:type="dxa"/>
            <w:shd w:val="clear" w:color="auto" w:fill="D9D9D9" w:themeFill="background1" w:themeFillShade="D9"/>
          </w:tcPr>
          <w:p w:rsidR="0039424C" w:rsidRPr="003C5457" w:rsidRDefault="0039424C" w:rsidP="0039424C">
            <w:pPr>
              <w:pStyle w:val="Bodytext20"/>
              <w:shd w:val="clear" w:color="auto" w:fill="auto"/>
              <w:spacing w:after="120" w:line="240" w:lineRule="auto"/>
              <w:ind w:right="-1" w:firstLine="0"/>
              <w:rPr>
                <w:rFonts w:ascii="GHEA Grapalat" w:hAnsi="GHEA Grapalat" w:cs="Sylfaen"/>
                <w:sz w:val="20"/>
                <w:szCs w:val="20"/>
              </w:rPr>
            </w:pPr>
            <w:r w:rsidRPr="003C5457">
              <w:rPr>
                <w:rStyle w:val="Bodytext29pt0"/>
                <w:rFonts w:ascii="GHEA Grapalat" w:hAnsi="GHEA Grapalat"/>
                <w:sz w:val="20"/>
                <w:szCs w:val="20"/>
              </w:rPr>
              <w:t>Ենթադրություններ</w:t>
            </w:r>
          </w:p>
        </w:tc>
      </w:tr>
      <w:tr w:rsidR="0039424C" w:rsidRPr="003C5457" w:rsidTr="00591E2F">
        <w:tc>
          <w:tcPr>
            <w:tcW w:w="1702" w:type="dxa"/>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rPr>
                <w:rStyle w:val="Bodytext29pt1"/>
                <w:rFonts w:ascii="GHEA Grapalat" w:hAnsi="GHEA Grapalat" w:cs="Sylfaen"/>
                <w:sz w:val="20"/>
                <w:szCs w:val="20"/>
              </w:rPr>
            </w:pPr>
            <w:r w:rsidRPr="003C5457">
              <w:rPr>
                <w:rStyle w:val="Bodytext29pt1"/>
                <w:rFonts w:ascii="GHEA Grapalat" w:hAnsi="GHEA Grapalat"/>
                <w:sz w:val="20"/>
                <w:szCs w:val="20"/>
              </w:rPr>
              <w:t>Ընդհանուր նպատակը.</w:t>
            </w:r>
          </w:p>
          <w:p w:rsidR="0039424C" w:rsidRPr="003C5457" w:rsidRDefault="0039424C" w:rsidP="008C567B">
            <w:pPr>
              <w:pStyle w:val="Bodytext20"/>
              <w:shd w:val="clear" w:color="auto" w:fill="auto"/>
              <w:spacing w:after="120" w:line="240" w:lineRule="auto"/>
              <w:ind w:right="-1" w:firstLine="0"/>
              <w:rPr>
                <w:rFonts w:ascii="GHEA Grapalat" w:hAnsi="GHEA Grapalat" w:cs="Sylfaen"/>
                <w:sz w:val="20"/>
                <w:szCs w:val="20"/>
              </w:rPr>
            </w:pPr>
            <w:r w:rsidRPr="003C5457">
              <w:rPr>
                <w:rStyle w:val="Bodytext29pt1"/>
                <w:rFonts w:ascii="GHEA Grapalat" w:hAnsi="GHEA Grapalat"/>
                <w:sz w:val="20"/>
                <w:szCs w:val="20"/>
              </w:rPr>
              <w:t>Արդյունքը</w:t>
            </w:r>
          </w:p>
        </w:tc>
        <w:tc>
          <w:tcPr>
            <w:tcW w:w="2578" w:type="dxa"/>
            <w:gridSpan w:val="3"/>
            <w:tcBorders>
              <w:bottom w:val="single" w:sz="4" w:space="0" w:color="auto"/>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 xml:space="preserve">Այս Գործողության հիմնական նպատակն է տնտեսական առանցքային բարեփոխումների հարցում աջակցել այն ոլորտներին, որոնք </w:t>
            </w:r>
            <w:r w:rsidRPr="003C5457">
              <w:rPr>
                <w:rStyle w:val="Bodytext26"/>
                <w:rFonts w:ascii="GHEA Grapalat" w:hAnsi="GHEA Grapalat"/>
                <w:i/>
                <w:sz w:val="20"/>
                <w:szCs w:val="20"/>
              </w:rPr>
              <w:t>սահմանվել են որպես տնտեսական աճը սահմանափակող կամ աճի հնարավորություններ ընձեռող</w:t>
            </w:r>
            <w:r w:rsidRPr="003C5457">
              <w:rPr>
                <w:rStyle w:val="Bodytext29pt2"/>
                <w:rFonts w:ascii="GHEA Grapalat" w:hAnsi="GHEA Grapalat"/>
                <w:sz w:val="20"/>
                <w:szCs w:val="20"/>
              </w:rPr>
              <w:t>։</w:t>
            </w:r>
          </w:p>
        </w:tc>
        <w:tc>
          <w:tcPr>
            <w:tcW w:w="2383" w:type="dxa"/>
            <w:tcBorders>
              <w:bottom w:val="single" w:sz="4" w:space="0" w:color="auto"/>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ՀՆԱ-ի աճն ավելացել է</w:t>
            </w:r>
          </w:p>
        </w:tc>
        <w:tc>
          <w:tcPr>
            <w:tcW w:w="1852"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ՀՆԱ-ի աճը</w:t>
            </w:r>
          </w:p>
        </w:tc>
        <w:tc>
          <w:tcPr>
            <w:tcW w:w="1550"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ՀՆԱ-ի աճը</w:t>
            </w:r>
          </w:p>
        </w:tc>
        <w:tc>
          <w:tcPr>
            <w:tcW w:w="2126" w:type="dxa"/>
            <w:tcBorders>
              <w:bottom w:val="single" w:sz="4" w:space="0" w:color="auto"/>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Ազգային վիճակագրական ծառայություններ (ԱՎԾ) եւ Կենտրոնական բանկի տարեկան հաշվետվություններ</w:t>
            </w:r>
          </w:p>
        </w:tc>
        <w:tc>
          <w:tcPr>
            <w:tcW w:w="2268"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Հայաստանի իշխանությունները մշակում են նոր ազգային ռազմավարություն, որը պետք է ապահովի</w:t>
            </w:r>
          </w:p>
        </w:tc>
      </w:tr>
      <w:tr w:rsidR="00591E2F" w:rsidRPr="003C5457" w:rsidTr="00591E2F">
        <w:tc>
          <w:tcPr>
            <w:tcW w:w="1702" w:type="dxa"/>
            <w:shd w:val="clear" w:color="auto" w:fill="F2F2F2" w:themeFill="background1" w:themeFillShade="F2"/>
          </w:tcPr>
          <w:p w:rsidR="008C567B" w:rsidRPr="003C5457" w:rsidRDefault="008C567B" w:rsidP="008C567B">
            <w:pPr>
              <w:pStyle w:val="Bodytext20"/>
              <w:shd w:val="clear" w:color="auto" w:fill="auto"/>
              <w:spacing w:after="120" w:line="240" w:lineRule="auto"/>
              <w:ind w:right="-1" w:firstLine="0"/>
              <w:rPr>
                <w:rStyle w:val="Bodytext29pt0"/>
                <w:rFonts w:ascii="GHEA Grapalat" w:hAnsi="GHEA Grapalat" w:cs="Sylfaen"/>
                <w:sz w:val="20"/>
                <w:szCs w:val="20"/>
              </w:rPr>
            </w:pPr>
            <w:r w:rsidRPr="003C5457">
              <w:rPr>
                <w:rStyle w:val="Bodytext29pt0"/>
                <w:rFonts w:ascii="GHEA Grapalat" w:hAnsi="GHEA Grapalat"/>
                <w:sz w:val="20"/>
                <w:szCs w:val="20"/>
              </w:rPr>
              <w:t>Հատուկ նպատակ (նպատակներ).</w:t>
            </w:r>
          </w:p>
          <w:p w:rsidR="0039424C" w:rsidRPr="003C5457" w:rsidRDefault="008C567B" w:rsidP="008C567B">
            <w:pPr>
              <w:spacing w:after="120"/>
              <w:ind w:right="-1"/>
              <w:jc w:val="center"/>
              <w:rPr>
                <w:rFonts w:ascii="GHEA Grapalat" w:hAnsi="GHEA Grapalat" w:cs="Sylfaen"/>
                <w:sz w:val="20"/>
                <w:szCs w:val="20"/>
              </w:rPr>
            </w:pPr>
            <w:r w:rsidRPr="003C5457">
              <w:rPr>
                <w:rStyle w:val="Bodytext29pt0"/>
                <w:rFonts w:ascii="GHEA Grapalat" w:eastAsia="Segoe UI" w:hAnsi="GHEA Grapalat"/>
                <w:sz w:val="20"/>
                <w:szCs w:val="20"/>
              </w:rPr>
              <w:t>Արդյունք (արդյունքներ)</w:t>
            </w:r>
          </w:p>
        </w:tc>
        <w:tc>
          <w:tcPr>
            <w:tcW w:w="2578" w:type="dxa"/>
            <w:gridSpan w:val="3"/>
            <w:tcBorders>
              <w:bottom w:val="nil"/>
            </w:tcBorders>
            <w:shd w:val="clear" w:color="auto" w:fill="F2F2F2" w:themeFill="background1" w:themeFillShade="F2"/>
          </w:tcPr>
          <w:p w:rsidR="0039424C" w:rsidRPr="003C5457" w:rsidRDefault="0039424C" w:rsidP="008C567B">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sidRPr="003C5457">
              <w:rPr>
                <w:rStyle w:val="Bodytext29pt2"/>
                <w:rFonts w:ascii="GHEA Grapalat" w:hAnsi="GHEA Grapalat"/>
                <w:sz w:val="20"/>
                <w:szCs w:val="20"/>
              </w:rPr>
              <w:t>I.</w:t>
            </w:r>
            <w:r w:rsidR="008C567B" w:rsidRPr="008C567B">
              <w:rPr>
                <w:rStyle w:val="Bodytext29pt2"/>
                <w:rFonts w:ascii="GHEA Grapalat" w:hAnsi="GHEA Grapalat"/>
                <w:sz w:val="20"/>
                <w:szCs w:val="20"/>
              </w:rPr>
              <w:tab/>
            </w:r>
            <w:r w:rsidRPr="003C5457">
              <w:rPr>
                <w:rStyle w:val="Bodytext29pt2"/>
                <w:rFonts w:ascii="GHEA Grapalat" w:hAnsi="GHEA Grapalat"/>
                <w:sz w:val="20"/>
                <w:szCs w:val="20"/>
              </w:rPr>
              <w:t>Պետական եւ մասնավոր ներդրումները կառավարելու եւ ներգրավելու նպատակով բարելավել տնտեսական կառավարումը</w:t>
            </w:r>
          </w:p>
        </w:tc>
        <w:tc>
          <w:tcPr>
            <w:tcW w:w="2383" w:type="dxa"/>
            <w:tcBorders>
              <w:bottom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ԱՈՒՆ/ՀՆԱ-ն ավելացել է</w:t>
            </w:r>
          </w:p>
        </w:tc>
        <w:tc>
          <w:tcPr>
            <w:tcW w:w="1852" w:type="dxa"/>
            <w:tcBorders>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ԱՈՒՆ/ՀՆԱ Պարտք/ՀՆԱ (50%)</w:t>
            </w:r>
          </w:p>
        </w:tc>
        <w:tc>
          <w:tcPr>
            <w:tcW w:w="1550" w:type="dxa"/>
            <w:tcBorders>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ԱՈՒՆ/ՀՆԱ Պարտք/ՀՆԱ (60%-ից ցածր)</w:t>
            </w:r>
          </w:p>
        </w:tc>
        <w:tc>
          <w:tcPr>
            <w:tcW w:w="2126" w:type="dxa"/>
            <w:tcBorders>
              <w:bottom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Ազգային վիճակագրական ծառայություններ (ԱՎԾ) եւ Կենտրոնական բանկի տարեկան հաշվետվություններ</w:t>
            </w:r>
          </w:p>
        </w:tc>
        <w:tc>
          <w:tcPr>
            <w:tcW w:w="2268" w:type="dxa"/>
            <w:tcBorders>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 xml:space="preserve">Հայաստանի տնտեսությունը կարող է զգայուն լինել արտաքին/տարածաշրջանային ցնցումների նկատմամբ (օրինակ՝ Ռուսաստանի), ներկայումս առողջացման միտում է նկատվում, որը պետք է շարունակվի հաջորդ մի քանի տարվա ընթացքում, ներկայիս Կառավարության հետ Հայաստանի </w:t>
            </w:r>
            <w:r w:rsidRPr="003C5457">
              <w:rPr>
                <w:rStyle w:val="Bodytext29pt2"/>
                <w:rFonts w:ascii="GHEA Grapalat" w:hAnsi="GHEA Grapalat"/>
                <w:sz w:val="20"/>
                <w:szCs w:val="20"/>
              </w:rPr>
              <w:lastRenderedPageBreak/>
              <w:t>տնտեսության կայունության բարելավման հետ կապված լուրջ բարեփոխումներ իրականացնելու հնարավորություն կա</w:t>
            </w:r>
          </w:p>
        </w:tc>
      </w:tr>
      <w:tr w:rsidR="0039424C" w:rsidRPr="003C5457" w:rsidTr="00591E2F">
        <w:tc>
          <w:tcPr>
            <w:tcW w:w="1702" w:type="dxa"/>
            <w:shd w:val="clear" w:color="auto" w:fill="F2F2F2" w:themeFill="background1" w:themeFillShade="F2"/>
          </w:tcPr>
          <w:p w:rsidR="0039424C" w:rsidRPr="003C5457" w:rsidRDefault="0039424C" w:rsidP="0039424C">
            <w:pPr>
              <w:spacing w:after="120"/>
              <w:ind w:right="-1"/>
              <w:jc w:val="both"/>
              <w:rPr>
                <w:rFonts w:ascii="GHEA Grapalat" w:hAnsi="GHEA Grapalat" w:cs="Sylfaen"/>
                <w:sz w:val="20"/>
                <w:szCs w:val="20"/>
              </w:rPr>
            </w:pPr>
          </w:p>
        </w:tc>
        <w:tc>
          <w:tcPr>
            <w:tcW w:w="2578" w:type="dxa"/>
            <w:gridSpan w:val="3"/>
            <w:tcBorders>
              <w:top w:val="nil"/>
              <w:bottom w:val="nil"/>
            </w:tcBorders>
            <w:shd w:val="clear" w:color="auto" w:fill="F2F2F2" w:themeFill="background1" w:themeFillShade="F2"/>
          </w:tcPr>
          <w:p w:rsidR="0039424C" w:rsidRPr="003C5457" w:rsidRDefault="0039424C" w:rsidP="008C567B">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sidRPr="003C5457">
              <w:rPr>
                <w:rStyle w:val="Bodytext29pt2"/>
                <w:rFonts w:ascii="GHEA Grapalat" w:hAnsi="GHEA Grapalat"/>
                <w:sz w:val="20"/>
                <w:szCs w:val="20"/>
              </w:rPr>
              <w:t>2.</w:t>
            </w:r>
            <w:r w:rsidR="008C567B" w:rsidRPr="008C567B">
              <w:rPr>
                <w:rStyle w:val="Bodytext29pt2"/>
                <w:rFonts w:ascii="GHEA Grapalat" w:hAnsi="GHEA Grapalat"/>
                <w:sz w:val="20"/>
                <w:szCs w:val="20"/>
              </w:rPr>
              <w:tab/>
            </w:r>
            <w:r w:rsidRPr="003C5457">
              <w:rPr>
                <w:rStyle w:val="Bodytext29pt2"/>
                <w:rFonts w:ascii="GHEA Grapalat" w:hAnsi="GHEA Grapalat"/>
                <w:sz w:val="20"/>
                <w:szCs w:val="20"/>
              </w:rPr>
              <w:t>Առօրյա բիզնես գործառնությունների համար բարելավել բիզնես եւ ներդրումային միջավայրը</w:t>
            </w:r>
          </w:p>
        </w:tc>
        <w:tc>
          <w:tcPr>
            <w:tcW w:w="2383" w:type="dxa"/>
            <w:tcBorders>
              <w:top w:val="nil"/>
              <w:bottom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Պետական ծառայություններից բիզնես ոլորտի գոհունակության մակարդակն աճել է</w:t>
            </w:r>
          </w:p>
        </w:tc>
        <w:tc>
          <w:tcPr>
            <w:tcW w:w="1852" w:type="dxa"/>
            <w:tcBorders>
              <w:top w:val="nil"/>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Բիզնես միջավայրի 2018 թվականի ցուցանիշ (ՀԲ) եւ համաշխարհային մրցունակություն</w:t>
            </w:r>
          </w:p>
        </w:tc>
        <w:tc>
          <w:tcPr>
            <w:tcW w:w="1550" w:type="dxa"/>
            <w:tcBorders>
              <w:top w:val="nil"/>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Բիզնես միջավայրի 2020 թվականի ցուցանիշ (ՀԲ) եւ համաշխարհային մրցունակություն</w:t>
            </w:r>
          </w:p>
        </w:tc>
        <w:tc>
          <w:tcPr>
            <w:tcW w:w="2126" w:type="dxa"/>
            <w:tcBorders>
              <w:top w:val="nil"/>
              <w:bottom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ՀԲ եւ ՀՏՖ հաշվետվություններ</w:t>
            </w:r>
          </w:p>
        </w:tc>
        <w:tc>
          <w:tcPr>
            <w:tcW w:w="2268" w:type="dxa"/>
            <w:tcBorders>
              <w:top w:val="nil"/>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p>
        </w:tc>
      </w:tr>
      <w:tr w:rsidR="0039424C" w:rsidRPr="003C5457" w:rsidTr="00591E2F">
        <w:tc>
          <w:tcPr>
            <w:tcW w:w="1702" w:type="dxa"/>
            <w:vMerge w:val="restart"/>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rPr>
                <w:rFonts w:ascii="GHEA Grapalat" w:hAnsi="GHEA Grapalat" w:cs="Sylfaen"/>
                <w:sz w:val="20"/>
                <w:szCs w:val="20"/>
              </w:rPr>
            </w:pPr>
          </w:p>
        </w:tc>
        <w:tc>
          <w:tcPr>
            <w:tcW w:w="2578" w:type="dxa"/>
            <w:gridSpan w:val="3"/>
            <w:tcBorders>
              <w:top w:val="nil"/>
            </w:tcBorders>
            <w:shd w:val="clear" w:color="auto" w:fill="F2F2F2" w:themeFill="background1" w:themeFillShade="F2"/>
          </w:tcPr>
          <w:p w:rsidR="0039424C" w:rsidRPr="003C5457" w:rsidRDefault="0039424C" w:rsidP="008C567B">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sidRPr="003C5457">
              <w:rPr>
                <w:rStyle w:val="Bodytext29pt2"/>
                <w:rFonts w:ascii="GHEA Grapalat" w:hAnsi="GHEA Grapalat"/>
                <w:sz w:val="20"/>
                <w:szCs w:val="20"/>
              </w:rPr>
              <w:t>3.</w:t>
            </w:r>
            <w:r w:rsidR="008C567B" w:rsidRPr="008C567B">
              <w:rPr>
                <w:rStyle w:val="Bodytext29pt2"/>
                <w:rFonts w:ascii="GHEA Grapalat" w:hAnsi="GHEA Grapalat"/>
                <w:sz w:val="20"/>
                <w:szCs w:val="20"/>
              </w:rPr>
              <w:tab/>
            </w:r>
            <w:r w:rsidRPr="003C5457">
              <w:rPr>
                <w:rStyle w:val="Bodytext29pt2"/>
                <w:rFonts w:ascii="GHEA Grapalat" w:hAnsi="GHEA Grapalat"/>
                <w:sz w:val="20"/>
                <w:szCs w:val="20"/>
              </w:rPr>
              <w:t>Հայաստանի բիզնես ոլորտում բարելավել առեւտրի եւ շուկայի հնարավորությունները/մատչելիության մակարդակը</w:t>
            </w:r>
          </w:p>
        </w:tc>
        <w:tc>
          <w:tcPr>
            <w:tcW w:w="2383" w:type="dxa"/>
            <w:tcBorders>
              <w:top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ԵՄ-ի հետ ապրանքաշրջանառությունն աճել է</w:t>
            </w:r>
          </w:p>
        </w:tc>
        <w:tc>
          <w:tcPr>
            <w:tcW w:w="1852"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2018 թվականի ցուցանիշ (ՀՏՖ)</w:t>
            </w:r>
          </w:p>
        </w:tc>
        <w:tc>
          <w:tcPr>
            <w:tcW w:w="1550"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2020 թվականի ցուցանիշ (ՀՏՖ)</w:t>
            </w:r>
          </w:p>
        </w:tc>
        <w:tc>
          <w:tcPr>
            <w:tcW w:w="2126" w:type="dxa"/>
            <w:tcBorders>
              <w:top w:val="nil"/>
            </w:tcBorders>
            <w:shd w:val="clear" w:color="auto" w:fill="F2F2F2" w:themeFill="background1" w:themeFillShade="F2"/>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2"/>
                <w:rFonts w:ascii="GHEA Grapalat" w:hAnsi="GHEA Grapalat"/>
                <w:sz w:val="20"/>
                <w:szCs w:val="20"/>
              </w:rPr>
              <w:t>Եվրոստատ,Ազգային վիճակագրական ծառայություններ (ԱՎԾ) եւ Կենտրոնական բանկի տարեկան հաշվետվություններ</w:t>
            </w:r>
          </w:p>
        </w:tc>
        <w:tc>
          <w:tcPr>
            <w:tcW w:w="2268"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p>
        </w:tc>
      </w:tr>
      <w:tr w:rsidR="0039424C" w:rsidRPr="003C5457" w:rsidTr="00591E2F">
        <w:tc>
          <w:tcPr>
            <w:tcW w:w="1702" w:type="dxa"/>
            <w:vMerge/>
            <w:shd w:val="clear" w:color="auto" w:fill="F2F2F2" w:themeFill="background1" w:themeFillShade="F2"/>
            <w:textDirection w:val="btLr"/>
          </w:tcPr>
          <w:p w:rsidR="0039424C" w:rsidRPr="003C5457" w:rsidRDefault="0039424C" w:rsidP="0039424C">
            <w:pPr>
              <w:spacing w:after="120"/>
              <w:ind w:right="-1"/>
              <w:jc w:val="both"/>
              <w:rPr>
                <w:rFonts w:ascii="GHEA Grapalat" w:hAnsi="GHEA Grapalat" w:cs="Sylfaen"/>
                <w:sz w:val="20"/>
                <w:szCs w:val="20"/>
              </w:rPr>
            </w:pPr>
          </w:p>
        </w:tc>
        <w:tc>
          <w:tcPr>
            <w:tcW w:w="2578" w:type="dxa"/>
            <w:gridSpan w:val="3"/>
            <w:shd w:val="clear" w:color="auto" w:fill="F2F2F2" w:themeFill="background1" w:themeFillShade="F2"/>
          </w:tcPr>
          <w:p w:rsidR="0039424C" w:rsidRPr="003C5457" w:rsidRDefault="0039424C" w:rsidP="009A77D1">
            <w:pPr>
              <w:pStyle w:val="Bodytext20"/>
              <w:shd w:val="clear" w:color="auto" w:fill="auto"/>
              <w:tabs>
                <w:tab w:val="left" w:pos="317"/>
              </w:tabs>
              <w:spacing w:after="0" w:line="240" w:lineRule="auto"/>
              <w:ind w:left="317" w:hanging="317"/>
              <w:jc w:val="left"/>
              <w:rPr>
                <w:rFonts w:ascii="GHEA Grapalat" w:hAnsi="GHEA Grapalat" w:cs="Sylfaen"/>
                <w:sz w:val="20"/>
                <w:szCs w:val="20"/>
              </w:rPr>
            </w:pPr>
            <w:r w:rsidRPr="003C5457">
              <w:rPr>
                <w:rStyle w:val="Bodytext29pt2"/>
                <w:rFonts w:ascii="GHEA Grapalat" w:hAnsi="GHEA Grapalat"/>
                <w:sz w:val="20"/>
                <w:szCs w:val="20"/>
              </w:rPr>
              <w:t>4.</w:t>
            </w:r>
            <w:r w:rsidR="008C567B">
              <w:rPr>
                <w:rStyle w:val="Bodytext29pt2"/>
                <w:rFonts w:ascii="GHEA Grapalat" w:hAnsi="GHEA Grapalat"/>
                <w:sz w:val="20"/>
                <w:szCs w:val="20"/>
                <w:lang w:val="ru-RU"/>
              </w:rPr>
              <w:tab/>
            </w:r>
            <w:r w:rsidRPr="003C5457">
              <w:rPr>
                <w:rStyle w:val="Bodytext29pt2"/>
                <w:rFonts w:ascii="GHEA Grapalat" w:hAnsi="GHEA Grapalat"/>
                <w:sz w:val="20"/>
                <w:szCs w:val="20"/>
              </w:rPr>
              <w:t>Հաղորդակցություն եւ էներգիա</w:t>
            </w:r>
          </w:p>
        </w:tc>
        <w:tc>
          <w:tcPr>
            <w:tcW w:w="2383" w:type="dxa"/>
            <w:shd w:val="clear" w:color="auto" w:fill="F2F2F2" w:themeFill="background1" w:themeFillShade="F2"/>
          </w:tcPr>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2"/>
                <w:rFonts w:ascii="GHEA Grapalat" w:hAnsi="GHEA Grapalat"/>
                <w:sz w:val="20"/>
                <w:szCs w:val="20"/>
              </w:rPr>
              <w:t>ԷԱ/ՎԷ-ի տոկոսը էներգիայի հաշվեկշռում</w:t>
            </w:r>
          </w:p>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2"/>
                <w:rFonts w:ascii="GHEA Grapalat" w:hAnsi="GHEA Grapalat"/>
                <w:sz w:val="20"/>
                <w:szCs w:val="20"/>
              </w:rPr>
              <w:t>ԵԸԱԳ համաձայնագրի՝ իրականացված դրույթների քանակը</w:t>
            </w:r>
          </w:p>
        </w:tc>
        <w:tc>
          <w:tcPr>
            <w:tcW w:w="1852" w:type="dxa"/>
          </w:tcPr>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2"/>
                <w:rFonts w:ascii="GHEA Grapalat" w:hAnsi="GHEA Grapalat"/>
                <w:sz w:val="20"/>
                <w:szCs w:val="20"/>
              </w:rPr>
              <w:t>Էներգիայի միջազգային գործակալության ելակետային ցուցանիշների գնահատում (2018 թվական)</w:t>
            </w:r>
          </w:p>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3"/>
                <w:rFonts w:ascii="GHEA Grapalat" w:hAnsi="GHEA Grapalat"/>
                <w:sz w:val="20"/>
                <w:szCs w:val="20"/>
              </w:rPr>
              <w:t>0</w:t>
            </w:r>
          </w:p>
        </w:tc>
        <w:tc>
          <w:tcPr>
            <w:tcW w:w="1550" w:type="dxa"/>
          </w:tcPr>
          <w:p w:rsidR="0039424C" w:rsidRPr="003C5457" w:rsidRDefault="0039424C" w:rsidP="009A77D1">
            <w:pPr>
              <w:pStyle w:val="Bodytext20"/>
              <w:shd w:val="clear" w:color="auto" w:fill="auto"/>
              <w:spacing w:after="0" w:line="240" w:lineRule="auto"/>
              <w:ind w:firstLine="0"/>
              <w:jc w:val="left"/>
              <w:rPr>
                <w:rStyle w:val="Bodytext29pt4"/>
                <w:rFonts w:ascii="GHEA Grapalat" w:hAnsi="GHEA Grapalat" w:cs="Sylfaen"/>
                <w:sz w:val="20"/>
                <w:szCs w:val="20"/>
              </w:rPr>
            </w:pPr>
            <w:r w:rsidRPr="003C5457">
              <w:rPr>
                <w:rStyle w:val="Bodytext29pt2"/>
                <w:rFonts w:ascii="GHEA Grapalat" w:hAnsi="GHEA Grapalat"/>
                <w:sz w:val="20"/>
                <w:szCs w:val="20"/>
              </w:rPr>
              <w:t xml:space="preserve">Էներգիայի միջազգային գործակալության ելակետային ցուցանիշների գնահատում (2020 </w:t>
            </w:r>
            <w:r w:rsidRPr="003C5457">
              <w:rPr>
                <w:rStyle w:val="Bodytext29pt2"/>
                <w:rFonts w:ascii="GHEA Grapalat" w:hAnsi="GHEA Grapalat"/>
                <w:sz w:val="20"/>
                <w:szCs w:val="20"/>
              </w:rPr>
              <w:lastRenderedPageBreak/>
              <w:t>թվական)</w:t>
            </w:r>
          </w:p>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4"/>
                <w:rFonts w:ascii="GHEA Grapalat" w:hAnsi="GHEA Grapalat"/>
                <w:sz w:val="20"/>
                <w:szCs w:val="20"/>
              </w:rPr>
              <w:t>10</w:t>
            </w:r>
          </w:p>
        </w:tc>
        <w:tc>
          <w:tcPr>
            <w:tcW w:w="2126" w:type="dxa"/>
            <w:shd w:val="clear" w:color="auto" w:fill="F2F2F2" w:themeFill="background1" w:themeFillShade="F2"/>
          </w:tcPr>
          <w:p w:rsidR="0039424C" w:rsidRPr="003C545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2"/>
                <w:rFonts w:ascii="GHEA Grapalat" w:hAnsi="GHEA Grapalat"/>
                <w:sz w:val="20"/>
                <w:szCs w:val="20"/>
              </w:rPr>
              <w:lastRenderedPageBreak/>
              <w:t>Էներգիայի հաշվեկշռի վերաբերյալ հաշվետվություն (ԷՄԳ)</w:t>
            </w:r>
          </w:p>
          <w:p w:rsidR="0039424C" w:rsidRPr="00E975C7" w:rsidRDefault="0039424C" w:rsidP="009A77D1">
            <w:pPr>
              <w:pStyle w:val="Bodytext20"/>
              <w:shd w:val="clear" w:color="auto" w:fill="auto"/>
              <w:spacing w:after="0" w:line="240" w:lineRule="auto"/>
              <w:ind w:firstLine="0"/>
              <w:jc w:val="left"/>
              <w:rPr>
                <w:rFonts w:ascii="GHEA Grapalat" w:hAnsi="GHEA Grapalat" w:cs="Sylfaen"/>
                <w:sz w:val="20"/>
                <w:szCs w:val="20"/>
              </w:rPr>
            </w:pPr>
            <w:r w:rsidRPr="003C5457">
              <w:rPr>
                <w:rStyle w:val="Bodytext29pt2"/>
                <w:rFonts w:ascii="GHEA Grapalat" w:hAnsi="GHEA Grapalat"/>
                <w:sz w:val="20"/>
                <w:szCs w:val="20"/>
              </w:rPr>
              <w:t xml:space="preserve">ԵԸԱԳ համաձայնագրի իրականացման </w:t>
            </w:r>
            <w:r w:rsidRPr="003C5457">
              <w:rPr>
                <w:rStyle w:val="Bodytext29pt2"/>
                <w:rFonts w:ascii="GHEA Grapalat" w:hAnsi="GHEA Grapalat"/>
                <w:sz w:val="20"/>
                <w:szCs w:val="20"/>
              </w:rPr>
              <w:lastRenderedPageBreak/>
              <w:t>վերաբերյալ հաշվետվություն</w:t>
            </w:r>
          </w:p>
        </w:tc>
        <w:tc>
          <w:tcPr>
            <w:tcW w:w="2268"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p>
        </w:tc>
      </w:tr>
      <w:tr w:rsidR="00591E2F" w:rsidRPr="003C5457" w:rsidTr="00591E2F">
        <w:tc>
          <w:tcPr>
            <w:tcW w:w="1702" w:type="dxa"/>
            <w:shd w:val="clear" w:color="auto" w:fill="F2F2F2" w:themeFill="background1" w:themeFillShade="F2"/>
          </w:tcPr>
          <w:p w:rsidR="0039424C" w:rsidRPr="003C5457" w:rsidRDefault="0039424C" w:rsidP="0039424C">
            <w:pPr>
              <w:pStyle w:val="Bodytext20"/>
              <w:shd w:val="clear" w:color="auto" w:fill="auto"/>
              <w:spacing w:after="120" w:line="240" w:lineRule="auto"/>
              <w:ind w:right="-1" w:firstLine="0"/>
              <w:jc w:val="both"/>
              <w:rPr>
                <w:rFonts w:ascii="GHEA Grapalat" w:hAnsi="GHEA Grapalat" w:cs="Sylfaen"/>
                <w:sz w:val="20"/>
                <w:szCs w:val="20"/>
              </w:rPr>
            </w:pPr>
            <w:r w:rsidRPr="003C5457">
              <w:rPr>
                <w:rStyle w:val="Bodytext29pt5"/>
                <w:rFonts w:ascii="GHEA Grapalat" w:hAnsi="GHEA Grapalat"/>
                <w:sz w:val="20"/>
                <w:szCs w:val="20"/>
              </w:rPr>
              <w:lastRenderedPageBreak/>
              <w:t>Արդյունքները</w:t>
            </w:r>
          </w:p>
        </w:tc>
        <w:tc>
          <w:tcPr>
            <w:tcW w:w="2572" w:type="dxa"/>
            <w:gridSpan w:val="2"/>
            <w:shd w:val="clear" w:color="auto" w:fill="FFFFFF" w:themeFill="background1"/>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Բաղադրիչ 1.</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Պետական ներդրումների եւ պարտքի կառավարման հետ կապված գործառույթները բարելավվել են</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«Պետական-մասնավոր գործընկերության մասին» (ՊՄԳ) համընդհանուր օրենքն ընդունվել է եւ կիրարկվում է</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«Պետական գնումների մասին» նոր օրենքը կիրարկվում է</w:t>
            </w:r>
          </w:p>
          <w:p w:rsidR="0039424C" w:rsidRDefault="00E975C7" w:rsidP="00E975C7">
            <w:pPr>
              <w:pStyle w:val="Bodytext20"/>
              <w:shd w:val="clear" w:color="auto" w:fill="auto"/>
              <w:tabs>
                <w:tab w:val="left" w:pos="317"/>
              </w:tabs>
              <w:spacing w:after="120" w:line="240" w:lineRule="auto"/>
              <w:ind w:left="317" w:right="-1" w:hanging="317"/>
              <w:jc w:val="left"/>
              <w:rPr>
                <w:rStyle w:val="Bodytext29pt3"/>
                <w:rFonts w:ascii="GHEA Grapalat" w:hAnsi="GHEA Grapalat"/>
                <w:sz w:val="20"/>
                <w:szCs w:val="20"/>
                <w:lang w:val="ru-RU"/>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 xml:space="preserve">տեղական արժույթի եւ կապիտալի շուկայի զարգացման ճանապարհային քարտեզը շարունակվում է իրականացվել </w:t>
            </w:r>
          </w:p>
          <w:p w:rsidR="00E975C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lang w:val="ru-RU"/>
              </w:rPr>
            </w:pPr>
          </w:p>
          <w:p w:rsidR="009A77D1" w:rsidRPr="00E975C7" w:rsidRDefault="009A77D1"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lang w:val="ru-RU"/>
              </w:rPr>
            </w:pPr>
          </w:p>
        </w:tc>
        <w:tc>
          <w:tcPr>
            <w:tcW w:w="2389" w:type="dxa"/>
            <w:gridSpan w:val="2"/>
            <w:shd w:val="clear" w:color="auto" w:fill="FFFFFF" w:themeFill="background1"/>
          </w:tcPr>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Ընդունված օրենքների քանակը</w:t>
            </w:r>
          </w:p>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Իրականացված բարեփոխումների/միջոցառումների քանակը</w:t>
            </w:r>
          </w:p>
          <w:p w:rsidR="0039424C" w:rsidRPr="003C5457" w:rsidRDefault="00E975C7" w:rsidP="00E975C7">
            <w:pPr>
              <w:pStyle w:val="Bodytext20"/>
              <w:shd w:val="clear" w:color="auto" w:fill="auto"/>
              <w:tabs>
                <w:tab w:val="left" w:pos="-109"/>
                <w:tab w:val="left" w:pos="438"/>
              </w:tabs>
              <w:spacing w:after="120" w:line="240" w:lineRule="auto"/>
              <w:ind w:left="438" w:right="-1" w:hanging="438"/>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ՊՄԳ քանակը</w:t>
            </w:r>
          </w:p>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Միջբանկային ավելի ցածր տոկոսադրույք</w:t>
            </w:r>
          </w:p>
        </w:tc>
        <w:tc>
          <w:tcPr>
            <w:tcW w:w="1852"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առաջին գործողությամբ կսահմանվեն ելակետային ցուցանիշներ (2018 թվական)</w:t>
            </w:r>
          </w:p>
        </w:tc>
        <w:tc>
          <w:tcPr>
            <w:tcW w:w="1550"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ելակետային ցուցանիշներ (2020 թվական)</w:t>
            </w:r>
          </w:p>
        </w:tc>
        <w:tc>
          <w:tcPr>
            <w:tcW w:w="2126"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Ընթացիկ հաշվետվություններ Հայաստանի կառավարությունից, ՎԶԵԲ-ից եւ ՀԲ-ից։</w:t>
            </w:r>
          </w:p>
        </w:tc>
        <w:tc>
          <w:tcPr>
            <w:tcW w:w="2268"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p>
        </w:tc>
      </w:tr>
      <w:tr w:rsidR="00591E2F" w:rsidRPr="003C5457" w:rsidTr="00591E2F">
        <w:tc>
          <w:tcPr>
            <w:tcW w:w="1702" w:type="dxa"/>
            <w:tcBorders>
              <w:bottom w:val="single" w:sz="4" w:space="0" w:color="auto"/>
            </w:tcBorders>
            <w:shd w:val="clear" w:color="auto" w:fill="F2F2F2" w:themeFill="background1" w:themeFillShade="F2"/>
          </w:tcPr>
          <w:p w:rsidR="0039424C" w:rsidRPr="003C5457" w:rsidRDefault="0039424C" w:rsidP="0039424C">
            <w:pPr>
              <w:spacing w:after="120"/>
              <w:ind w:right="-1"/>
              <w:jc w:val="both"/>
              <w:rPr>
                <w:rFonts w:ascii="GHEA Grapalat" w:hAnsi="GHEA Grapalat" w:cs="Sylfaen"/>
                <w:sz w:val="20"/>
                <w:szCs w:val="20"/>
              </w:rPr>
            </w:pPr>
          </w:p>
        </w:tc>
        <w:tc>
          <w:tcPr>
            <w:tcW w:w="2572" w:type="dxa"/>
            <w:gridSpan w:val="2"/>
            <w:tcBorders>
              <w:bottom w:val="single" w:sz="4" w:space="0" w:color="auto"/>
            </w:tcBorders>
            <w:shd w:val="clear" w:color="auto" w:fill="FFFFFF" w:themeFill="background1"/>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Բաղադրիչ 2.</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Կարգավորման ազդեցության գնահատման (ԿԱԳ) գործառույթը վերականգնվել է</w:t>
            </w:r>
          </w:p>
          <w:p w:rsidR="0039424C" w:rsidRPr="00E975C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i/>
                <w:sz w:val="20"/>
                <w:szCs w:val="20"/>
              </w:rPr>
            </w:pPr>
            <w:r>
              <w:rPr>
                <w:rFonts w:ascii="GHEA Grapalat" w:hAnsi="GHEA Grapalat"/>
                <w:b/>
                <w:i/>
                <w:sz w:val="20"/>
                <w:szCs w:val="20"/>
              </w:rPr>
              <w:t>●</w:t>
            </w:r>
            <w:r w:rsidRPr="00E975C7">
              <w:rPr>
                <w:rFonts w:ascii="GHEA Grapalat" w:hAnsi="GHEA Grapalat"/>
                <w:b/>
                <w:i/>
                <w:sz w:val="20"/>
                <w:szCs w:val="20"/>
              </w:rPr>
              <w:tab/>
            </w:r>
            <w:r w:rsidR="0039424C" w:rsidRPr="00E975C7">
              <w:rPr>
                <w:rStyle w:val="Bodytext29pt8"/>
                <w:rFonts w:ascii="GHEA Grapalat" w:hAnsi="GHEA Grapalat"/>
                <w:i/>
                <w:spacing w:val="0"/>
                <w:sz w:val="20"/>
                <w:szCs w:val="20"/>
              </w:rPr>
              <w:t>Սահմանվել են «գործարարների շահերի պաշտպանի» գործառույթները</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Աջակցություն ՓՄՁ-ների համար բիզնես միջավայրի էկո-համակարգին</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Ռիսկերի գնահատման վրա հիմնված տեսչական բարեփոխումն ամփոփվել է</w:t>
            </w:r>
          </w:p>
        </w:tc>
        <w:tc>
          <w:tcPr>
            <w:tcW w:w="2389" w:type="dxa"/>
            <w:gridSpan w:val="2"/>
            <w:tcBorders>
              <w:bottom w:val="single" w:sz="4" w:space="0" w:color="auto"/>
            </w:tcBorders>
            <w:shd w:val="clear" w:color="auto" w:fill="FFFFFF" w:themeFill="background1"/>
          </w:tcPr>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Միջամտության տարբեր բնագավառներում ընդունված իրավական ակտերը</w:t>
            </w:r>
          </w:p>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ԿԱԳ-ի ենթակա իրավական ակտերի քանակը</w:t>
            </w:r>
          </w:p>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b/>
                <w:i/>
                <w:sz w:val="20"/>
                <w:szCs w:val="20"/>
              </w:rPr>
              <w:t>●</w:t>
            </w:r>
            <w:r w:rsidRPr="00E975C7">
              <w:rPr>
                <w:rFonts w:ascii="GHEA Grapalat" w:hAnsi="GHEA Grapalat"/>
                <w:b/>
                <w:i/>
                <w:sz w:val="20"/>
                <w:szCs w:val="20"/>
              </w:rPr>
              <w:tab/>
            </w:r>
            <w:r w:rsidR="0039424C" w:rsidRPr="003C5457">
              <w:rPr>
                <w:rStyle w:val="Bodytext29pt3"/>
                <w:rFonts w:ascii="GHEA Grapalat" w:hAnsi="GHEA Grapalat"/>
                <w:sz w:val="20"/>
                <w:szCs w:val="20"/>
              </w:rPr>
              <w:t>Գործարարների շահերի պաշտպանի՝ սահմանված գործառույթների եւ օգտվող ընկերությունների քանակը</w:t>
            </w:r>
          </w:p>
          <w:p w:rsidR="0039424C" w:rsidRPr="003C5457" w:rsidRDefault="00E975C7" w:rsidP="00E975C7">
            <w:pPr>
              <w:pStyle w:val="Bodytext20"/>
              <w:shd w:val="clear" w:color="auto" w:fill="auto"/>
              <w:tabs>
                <w:tab w:val="left" w:pos="297"/>
              </w:tabs>
              <w:spacing w:after="120" w:line="240" w:lineRule="auto"/>
              <w:ind w:left="438" w:right="-1" w:hanging="438"/>
              <w:jc w:val="left"/>
              <w:rPr>
                <w:rFonts w:ascii="GHEA Grapalat" w:hAnsi="GHEA Grapalat" w:cs="Sylfaen"/>
                <w:sz w:val="20"/>
                <w:szCs w:val="20"/>
              </w:rPr>
            </w:pPr>
            <w:r>
              <w:rPr>
                <w:rFonts w:ascii="GHEA Grapalat" w:hAnsi="GHEA Grapalat"/>
                <w:b/>
                <w:i/>
                <w:sz w:val="20"/>
                <w:szCs w:val="20"/>
              </w:rPr>
              <w:t>●</w:t>
            </w:r>
            <w:r>
              <w:rPr>
                <w:rFonts w:ascii="GHEA Grapalat" w:hAnsi="GHEA Grapalat"/>
                <w:b/>
                <w:i/>
                <w:sz w:val="20"/>
                <w:szCs w:val="20"/>
                <w:lang w:val="ru-RU"/>
              </w:rPr>
              <w:tab/>
            </w:r>
            <w:r w:rsidR="0039424C" w:rsidRPr="003C5457">
              <w:rPr>
                <w:rStyle w:val="Bodytext29pt3"/>
                <w:rFonts w:ascii="GHEA Grapalat" w:hAnsi="GHEA Grapalat"/>
                <w:sz w:val="20"/>
                <w:szCs w:val="20"/>
              </w:rPr>
              <w:t>Բարեփոխումներով բավարարված ընկերությունների քանակը</w:t>
            </w:r>
          </w:p>
        </w:tc>
        <w:tc>
          <w:tcPr>
            <w:tcW w:w="1852"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առաջին գործողությամբ կսահմանվեն ելակետային ցուցանիշներ (2018 թվական)</w:t>
            </w:r>
          </w:p>
        </w:tc>
        <w:tc>
          <w:tcPr>
            <w:tcW w:w="1550"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ելակետային ցուցանիշներ</w:t>
            </w:r>
          </w:p>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(2020 թվական)</w:t>
            </w:r>
          </w:p>
        </w:tc>
        <w:tc>
          <w:tcPr>
            <w:tcW w:w="2126" w:type="dxa"/>
            <w:tcBorders>
              <w:bottom w:val="single" w:sz="4" w:space="0" w:color="auto"/>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Հայաստանի կառավարության, ՎԶԵԲ-ի, ՀԲ–ի ընթացիկ հաշվետվություններ</w:t>
            </w:r>
          </w:p>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Հարցումներ ԳԱԿ/ԳՄԿ-ից</w:t>
            </w:r>
          </w:p>
        </w:tc>
        <w:tc>
          <w:tcPr>
            <w:tcW w:w="2268" w:type="dxa"/>
            <w:tcBorders>
              <w:bottom w:val="single" w:sz="4" w:space="0" w:color="auto"/>
            </w:tcBorders>
          </w:tcPr>
          <w:p w:rsidR="0039424C" w:rsidRPr="003C5457" w:rsidRDefault="00E975C7" w:rsidP="008C567B">
            <w:pPr>
              <w:spacing w:after="120"/>
              <w:ind w:right="-1"/>
              <w:rPr>
                <w:rFonts w:ascii="GHEA Grapalat" w:hAnsi="GHEA Grapalat" w:cs="Sylfaen"/>
                <w:sz w:val="20"/>
                <w:szCs w:val="20"/>
              </w:rPr>
            </w:pPr>
            <w:r w:rsidRPr="003C5457">
              <w:rPr>
                <w:rStyle w:val="Bodytext29pt3"/>
                <w:rFonts w:ascii="GHEA Grapalat" w:eastAsia="Segoe UI" w:hAnsi="GHEA Grapalat"/>
                <w:sz w:val="20"/>
                <w:szCs w:val="20"/>
              </w:rPr>
              <w:t>Հայաստանի տնտեսությունը կարող է զգայուն լինել արտաքին/տարածաշրջանային ցնցումների նկատմամբ (օրինակ՝ Ռուսաստանի), ներկայումս առողջացման միտում է նկատվում, որը պետք է շարունակվի հաջորդ մի քանի տարվա ընթացքում, ներկայիս Կառավարության հետ Հայաստանի տնտեսության կայունության բարելավման հետ կապված լուրջ բարեփոխումներ իրականացնելու հնարավորություն կա</w:t>
            </w:r>
          </w:p>
        </w:tc>
      </w:tr>
      <w:tr w:rsidR="00591E2F" w:rsidRPr="003C5457" w:rsidTr="00591E2F">
        <w:tc>
          <w:tcPr>
            <w:tcW w:w="1702" w:type="dxa"/>
            <w:tcBorders>
              <w:bottom w:val="nil"/>
            </w:tcBorders>
            <w:shd w:val="clear" w:color="auto" w:fill="F2F2F2" w:themeFill="background1" w:themeFillShade="F2"/>
          </w:tcPr>
          <w:p w:rsidR="0039424C" w:rsidRPr="003C5457" w:rsidRDefault="0039424C" w:rsidP="0039424C">
            <w:pPr>
              <w:spacing w:after="120"/>
              <w:ind w:right="-1"/>
              <w:jc w:val="both"/>
              <w:rPr>
                <w:rFonts w:ascii="GHEA Grapalat" w:hAnsi="GHEA Grapalat" w:cs="Sylfaen"/>
                <w:sz w:val="20"/>
                <w:szCs w:val="20"/>
              </w:rPr>
            </w:pPr>
          </w:p>
        </w:tc>
        <w:tc>
          <w:tcPr>
            <w:tcW w:w="2572" w:type="dxa"/>
            <w:gridSpan w:val="2"/>
            <w:tcBorders>
              <w:bottom w:val="nil"/>
            </w:tcBorders>
            <w:shd w:val="clear" w:color="auto" w:fill="FFFFFF" w:themeFill="background1"/>
          </w:tcPr>
          <w:p w:rsidR="0039424C" w:rsidRPr="003C5457" w:rsidRDefault="0039424C" w:rsidP="00E975C7">
            <w:pPr>
              <w:pStyle w:val="Bodytext20"/>
              <w:shd w:val="clear" w:color="auto" w:fill="auto"/>
              <w:spacing w:after="120" w:line="240" w:lineRule="auto"/>
              <w:ind w:left="-108" w:right="-1" w:firstLine="108"/>
              <w:jc w:val="left"/>
              <w:rPr>
                <w:rFonts w:ascii="GHEA Grapalat" w:hAnsi="GHEA Grapalat" w:cs="Sylfaen"/>
                <w:sz w:val="20"/>
                <w:szCs w:val="20"/>
              </w:rPr>
            </w:pPr>
            <w:r w:rsidRPr="003C5457">
              <w:rPr>
                <w:rStyle w:val="Bodytext29pt3"/>
                <w:rFonts w:ascii="GHEA Grapalat" w:hAnsi="GHEA Grapalat"/>
                <w:sz w:val="20"/>
                <w:szCs w:val="20"/>
              </w:rPr>
              <w:t>Բաղադրիչ 3.</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Մտավոր սեփականության իրավունքները</w:t>
            </w:r>
            <w:r w:rsidRPr="00E975C7">
              <w:rPr>
                <w:rFonts w:cs="Sylfaen"/>
              </w:rPr>
              <w:t xml:space="preserve"> </w:t>
            </w:r>
            <w:r w:rsidR="0039424C" w:rsidRPr="003C5457">
              <w:rPr>
                <w:rStyle w:val="Bodytext29pt3"/>
                <w:rFonts w:ascii="GHEA Grapalat" w:hAnsi="GHEA Grapalat"/>
                <w:sz w:val="20"/>
                <w:szCs w:val="20"/>
              </w:rPr>
              <w:t>պաշտպանվում են ճիշտ ձեւով</w:t>
            </w:r>
          </w:p>
          <w:p w:rsidR="0039424C" w:rsidRPr="003C5457" w:rsidRDefault="00E975C7" w:rsidP="00E975C7">
            <w:pPr>
              <w:pStyle w:val="Bodytext20"/>
              <w:shd w:val="clear" w:color="auto" w:fill="auto"/>
              <w:tabs>
                <w:tab w:val="left" w:pos="317"/>
              </w:tabs>
              <w:spacing w:after="120" w:line="240" w:lineRule="auto"/>
              <w:ind w:left="317" w:right="-1" w:hanging="317"/>
              <w:jc w:val="left"/>
              <w:rPr>
                <w:rFonts w:ascii="GHEA Grapalat" w:hAnsi="GHEA Grapalat" w:cs="Sylfaen"/>
                <w:sz w:val="20"/>
                <w:szCs w:val="20"/>
              </w:rPr>
            </w:pPr>
            <w:r>
              <w:rPr>
                <w:rFonts w:ascii="GHEA Grapalat" w:hAnsi="GHEA Grapalat"/>
                <w:sz w:val="20"/>
                <w:szCs w:val="20"/>
              </w:rPr>
              <w:t>●</w:t>
            </w:r>
            <w:r w:rsidRPr="00E975C7">
              <w:rPr>
                <w:rFonts w:ascii="GHEA Grapalat" w:hAnsi="GHEA Grapalat"/>
                <w:sz w:val="20"/>
                <w:szCs w:val="20"/>
              </w:rPr>
              <w:tab/>
            </w:r>
            <w:r w:rsidR="0039424C" w:rsidRPr="003C5457">
              <w:rPr>
                <w:rStyle w:val="Bodytext29pt3"/>
                <w:rFonts w:ascii="GHEA Grapalat" w:hAnsi="GHEA Grapalat"/>
                <w:sz w:val="20"/>
                <w:szCs w:val="20"/>
              </w:rPr>
              <w:t xml:space="preserve">Մաքսային ծառայության մասով իրականացված </w:t>
            </w:r>
            <w:r w:rsidR="0039424C" w:rsidRPr="003C5457">
              <w:rPr>
                <w:rStyle w:val="Bodytext29pt3"/>
                <w:rFonts w:ascii="GHEA Grapalat" w:hAnsi="GHEA Grapalat"/>
                <w:sz w:val="20"/>
                <w:szCs w:val="20"/>
              </w:rPr>
              <w:lastRenderedPageBreak/>
              <w:t>հանձնառությունները՝ համաձայն «Առեւտրի դյուրացման մասին» համաձայնագրի վերաբերյալ 8-րդ նախարարական համաժողովի</w:t>
            </w:r>
          </w:p>
        </w:tc>
        <w:tc>
          <w:tcPr>
            <w:tcW w:w="2389" w:type="dxa"/>
            <w:gridSpan w:val="2"/>
            <w:tcBorders>
              <w:bottom w:val="nil"/>
            </w:tcBorders>
            <w:shd w:val="clear" w:color="auto" w:fill="FFFFFF" w:themeFill="background1"/>
          </w:tcPr>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Style w:val="Bodytext29pt6"/>
                <w:rFonts w:ascii="GHEA Grapalat" w:hAnsi="GHEA Grapalat"/>
                <w:sz w:val="20"/>
                <w:szCs w:val="20"/>
              </w:rPr>
              <w:lastRenderedPageBreak/>
              <w:t>●</w:t>
            </w:r>
            <w:r w:rsidRPr="00E975C7">
              <w:rPr>
                <w:rStyle w:val="Bodytext29pt6"/>
                <w:rFonts w:ascii="GHEA Grapalat" w:hAnsi="GHEA Grapalat"/>
                <w:sz w:val="20"/>
                <w:szCs w:val="20"/>
              </w:rPr>
              <w:tab/>
            </w:r>
            <w:r w:rsidR="0039424C" w:rsidRPr="003C5457">
              <w:rPr>
                <w:rStyle w:val="Bodytext29pt3"/>
                <w:rFonts w:ascii="GHEA Grapalat" w:hAnsi="GHEA Grapalat"/>
                <w:sz w:val="20"/>
                <w:szCs w:val="20"/>
              </w:rPr>
              <w:t>ԵՄ-Հայաստան շրջանակային համաձայնագրի դրույթներին համապատասխան իրականացված միջոցառումների քանակը</w:t>
            </w:r>
          </w:p>
        </w:tc>
        <w:tc>
          <w:tcPr>
            <w:tcW w:w="1852" w:type="dxa"/>
            <w:tcBorders>
              <w:bottom w:val="nil"/>
            </w:tcBorders>
          </w:tcPr>
          <w:p w:rsidR="0039424C" w:rsidRPr="003C5457" w:rsidRDefault="0039424C" w:rsidP="008C567B">
            <w:pPr>
              <w:spacing w:after="120"/>
              <w:ind w:right="-1"/>
              <w:rPr>
                <w:rFonts w:ascii="GHEA Grapalat" w:hAnsi="GHEA Grapalat" w:cs="Sylfaen"/>
                <w:sz w:val="20"/>
                <w:szCs w:val="20"/>
              </w:rPr>
            </w:pPr>
          </w:p>
        </w:tc>
        <w:tc>
          <w:tcPr>
            <w:tcW w:w="1550" w:type="dxa"/>
            <w:tcBorders>
              <w:bottom w:val="nil"/>
            </w:tcBorders>
          </w:tcPr>
          <w:p w:rsidR="0039424C" w:rsidRPr="003C5457" w:rsidRDefault="0039424C" w:rsidP="008C567B">
            <w:pPr>
              <w:spacing w:after="120"/>
              <w:ind w:right="-1"/>
              <w:rPr>
                <w:rFonts w:ascii="GHEA Grapalat" w:hAnsi="GHEA Grapalat" w:cs="Sylfaen"/>
                <w:sz w:val="20"/>
                <w:szCs w:val="20"/>
              </w:rPr>
            </w:pPr>
          </w:p>
        </w:tc>
        <w:tc>
          <w:tcPr>
            <w:tcW w:w="2126" w:type="dxa"/>
            <w:tcBorders>
              <w:bottom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ԵՄ-Հայաստան շրջանակային համաձայնագրի ՝ առեւտրին առնչվող դրույթների իրականացման վերաբերյալ ԵՄ զեկույց</w:t>
            </w:r>
          </w:p>
        </w:tc>
        <w:tc>
          <w:tcPr>
            <w:tcW w:w="2268" w:type="dxa"/>
            <w:tcBorders>
              <w:bottom w:val="nil"/>
            </w:tcBorders>
          </w:tcPr>
          <w:p w:rsidR="0039424C" w:rsidRPr="003C5457" w:rsidRDefault="0039424C" w:rsidP="008C567B">
            <w:pPr>
              <w:spacing w:after="120"/>
              <w:ind w:right="-1"/>
              <w:rPr>
                <w:rFonts w:ascii="GHEA Grapalat" w:hAnsi="GHEA Grapalat" w:cs="Sylfaen"/>
                <w:sz w:val="20"/>
                <w:szCs w:val="20"/>
              </w:rPr>
            </w:pPr>
          </w:p>
        </w:tc>
      </w:tr>
      <w:tr w:rsidR="00591E2F" w:rsidRPr="003C5457" w:rsidTr="00591E2F">
        <w:tc>
          <w:tcPr>
            <w:tcW w:w="1712" w:type="dxa"/>
            <w:gridSpan w:val="2"/>
            <w:tcBorders>
              <w:top w:val="nil"/>
            </w:tcBorders>
            <w:shd w:val="clear" w:color="auto" w:fill="F2F2F2" w:themeFill="background1" w:themeFillShade="F2"/>
          </w:tcPr>
          <w:p w:rsidR="0039424C" w:rsidRPr="003C5457" w:rsidRDefault="0039424C" w:rsidP="008C567B">
            <w:pPr>
              <w:spacing w:after="120"/>
              <w:ind w:right="-1"/>
              <w:rPr>
                <w:rFonts w:ascii="GHEA Grapalat" w:hAnsi="GHEA Grapalat" w:cs="Sylfaen"/>
                <w:sz w:val="20"/>
                <w:szCs w:val="20"/>
              </w:rPr>
            </w:pPr>
          </w:p>
        </w:tc>
        <w:tc>
          <w:tcPr>
            <w:tcW w:w="2562" w:type="dxa"/>
            <w:tcBorders>
              <w:top w:val="nil"/>
            </w:tcBorders>
            <w:shd w:val="clear" w:color="auto" w:fill="FFFFFF" w:themeFill="background1"/>
          </w:tcPr>
          <w:p w:rsidR="0039424C" w:rsidRPr="003C5457" w:rsidRDefault="00E975C7" w:rsidP="00E975C7">
            <w:pPr>
              <w:pStyle w:val="Bodytext20"/>
              <w:shd w:val="clear" w:color="auto" w:fill="auto"/>
              <w:tabs>
                <w:tab w:val="left" w:pos="307"/>
              </w:tabs>
              <w:spacing w:after="120" w:line="240" w:lineRule="auto"/>
              <w:ind w:left="307" w:right="-1" w:hanging="307"/>
              <w:jc w:val="left"/>
              <w:rPr>
                <w:rFonts w:ascii="GHEA Grapalat" w:hAnsi="GHEA Grapalat" w:cs="Sylfaen"/>
                <w:sz w:val="20"/>
                <w:szCs w:val="20"/>
              </w:rPr>
            </w:pPr>
            <w:r>
              <w:rPr>
                <w:rStyle w:val="Bodytext29pt9"/>
                <w:rFonts w:ascii="GHEA Grapalat" w:hAnsi="GHEA Grapalat"/>
                <w:sz w:val="20"/>
                <w:szCs w:val="20"/>
              </w:rPr>
              <w:t>●</w:t>
            </w:r>
            <w:r w:rsidRPr="00E975C7">
              <w:rPr>
                <w:rStyle w:val="Bodytext29pt9"/>
                <w:rFonts w:ascii="GHEA Grapalat" w:hAnsi="GHEA Grapalat"/>
                <w:sz w:val="20"/>
                <w:szCs w:val="20"/>
              </w:rPr>
              <w:tab/>
            </w:r>
            <w:r w:rsidR="0039424C" w:rsidRPr="003C5457">
              <w:rPr>
                <w:rStyle w:val="Bodytext29pt3"/>
                <w:rFonts w:ascii="GHEA Grapalat" w:hAnsi="GHEA Grapalat"/>
                <w:sz w:val="20"/>
                <w:szCs w:val="20"/>
              </w:rPr>
              <w:t>Որակի ենթակառուցվածքով (1)</w:t>
            </w:r>
            <w:r w:rsidRPr="003C5457">
              <w:rPr>
                <w:rStyle w:val="Bodytext29pt3"/>
                <w:rFonts w:ascii="GHEA Grapalat" w:hAnsi="GHEA Grapalat"/>
                <w:sz w:val="20"/>
                <w:szCs w:val="20"/>
              </w:rPr>
              <w:t xml:space="preserve"> </w:t>
            </w:r>
            <w:r w:rsidR="0039424C" w:rsidRPr="003C5457">
              <w:rPr>
                <w:rStyle w:val="Bodytext29pt3"/>
                <w:rFonts w:ascii="GHEA Grapalat" w:hAnsi="GHEA Grapalat"/>
                <w:sz w:val="20"/>
                <w:szCs w:val="20"/>
              </w:rPr>
              <w:t xml:space="preserve">ընկերություններին հնարավորություն է տրվում ավելի լավ պատրաստվել դեպի ԵՄ արտահանումներ կատարելու համար </w:t>
            </w:r>
          </w:p>
        </w:tc>
        <w:tc>
          <w:tcPr>
            <w:tcW w:w="2389" w:type="dxa"/>
            <w:gridSpan w:val="2"/>
            <w:tcBorders>
              <w:top w:val="nil"/>
            </w:tcBorders>
            <w:shd w:val="clear" w:color="auto" w:fill="FFFFFF" w:themeFill="background1"/>
          </w:tcPr>
          <w:p w:rsidR="0039424C" w:rsidRPr="003C5457" w:rsidRDefault="00E975C7" w:rsidP="00E975C7">
            <w:pPr>
              <w:pStyle w:val="Bodytext20"/>
              <w:shd w:val="clear" w:color="auto" w:fill="auto"/>
              <w:tabs>
                <w:tab w:val="left" w:pos="297"/>
              </w:tabs>
              <w:spacing w:after="120" w:line="240" w:lineRule="auto"/>
              <w:ind w:left="438" w:right="-1" w:hanging="438"/>
              <w:jc w:val="left"/>
              <w:rPr>
                <w:rFonts w:ascii="GHEA Grapalat" w:hAnsi="GHEA Grapalat" w:cs="Sylfaen"/>
                <w:sz w:val="20"/>
                <w:szCs w:val="20"/>
              </w:rPr>
            </w:pPr>
            <w:r>
              <w:rPr>
                <w:rFonts w:ascii="GHEA Grapalat" w:hAnsi="GHEA Grapalat"/>
                <w:b/>
                <w:sz w:val="20"/>
                <w:szCs w:val="20"/>
              </w:rPr>
              <w:t>●</w:t>
            </w:r>
            <w:r w:rsidRPr="00E975C7">
              <w:rPr>
                <w:rFonts w:ascii="GHEA Grapalat" w:hAnsi="GHEA Grapalat"/>
                <w:b/>
                <w:sz w:val="20"/>
                <w:szCs w:val="20"/>
              </w:rPr>
              <w:tab/>
            </w:r>
            <w:r w:rsidR="0039424C" w:rsidRPr="003C5457">
              <w:rPr>
                <w:rStyle w:val="Bodytext29pt3"/>
                <w:rFonts w:ascii="GHEA Grapalat" w:hAnsi="GHEA Grapalat"/>
                <w:sz w:val="20"/>
                <w:szCs w:val="20"/>
              </w:rPr>
              <w:t>Բարեփոխումներով բավարարված ընկերությունների քանակը</w:t>
            </w:r>
          </w:p>
          <w:p w:rsidR="0039424C" w:rsidRPr="003C5457" w:rsidRDefault="00E975C7" w:rsidP="00E975C7">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b/>
                <w:sz w:val="20"/>
                <w:szCs w:val="20"/>
              </w:rPr>
              <w:t>●</w:t>
            </w:r>
            <w:r w:rsidRPr="00E975C7">
              <w:rPr>
                <w:rFonts w:ascii="GHEA Grapalat" w:hAnsi="GHEA Grapalat"/>
                <w:b/>
                <w:sz w:val="20"/>
                <w:szCs w:val="20"/>
              </w:rPr>
              <w:tab/>
            </w:r>
            <w:r w:rsidR="0039424C" w:rsidRPr="003C5457">
              <w:rPr>
                <w:rStyle w:val="Bodytext29pt3"/>
                <w:rFonts w:ascii="GHEA Grapalat" w:hAnsi="GHEA Grapalat"/>
                <w:sz w:val="20"/>
                <w:szCs w:val="20"/>
              </w:rPr>
              <w:t>ԵՄ-Հայաստան ապրանքաշրջանառությունն աճել է</w:t>
            </w:r>
          </w:p>
        </w:tc>
        <w:tc>
          <w:tcPr>
            <w:tcW w:w="1852"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առաջին գործողությամբ կսահմանվեն ելակետային ցուցանիշներ (2018 թվական)</w:t>
            </w:r>
          </w:p>
        </w:tc>
        <w:tc>
          <w:tcPr>
            <w:tcW w:w="1550"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ելակետային ցուցանիշներ (2020 թվական)</w:t>
            </w:r>
          </w:p>
        </w:tc>
        <w:tc>
          <w:tcPr>
            <w:tcW w:w="2126" w:type="dxa"/>
            <w:tcBorders>
              <w:top w:val="nil"/>
            </w:tcBorders>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 xml:space="preserve"> «Առեւտրի դյուրացման մասին» համաձայնագրի իրականացման վերաբերյալ ԱՀԿ զեկույցներ </w:t>
            </w:r>
          </w:p>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Հարցումներ ԳԱԿ/ԳՄԿ-ից</w:t>
            </w:r>
          </w:p>
        </w:tc>
        <w:tc>
          <w:tcPr>
            <w:tcW w:w="2268" w:type="dxa"/>
            <w:tcBorders>
              <w:top w:val="nil"/>
            </w:tcBorders>
          </w:tcPr>
          <w:p w:rsidR="0039424C" w:rsidRPr="003C5457" w:rsidRDefault="0039424C" w:rsidP="008C567B">
            <w:pPr>
              <w:spacing w:after="120"/>
              <w:ind w:right="-1"/>
              <w:rPr>
                <w:rFonts w:ascii="GHEA Grapalat" w:hAnsi="GHEA Grapalat" w:cs="Sylfaen"/>
                <w:sz w:val="20"/>
                <w:szCs w:val="20"/>
              </w:rPr>
            </w:pPr>
          </w:p>
        </w:tc>
      </w:tr>
      <w:tr w:rsidR="0039424C" w:rsidRPr="003C5457" w:rsidTr="00591E2F">
        <w:tc>
          <w:tcPr>
            <w:tcW w:w="1712" w:type="dxa"/>
            <w:gridSpan w:val="2"/>
            <w:shd w:val="clear" w:color="auto" w:fill="F2F2F2" w:themeFill="background1" w:themeFillShade="F2"/>
          </w:tcPr>
          <w:p w:rsidR="0039424C" w:rsidRPr="003C5457" w:rsidRDefault="0039424C" w:rsidP="008C567B">
            <w:pPr>
              <w:spacing w:after="120"/>
              <w:ind w:right="-1"/>
              <w:rPr>
                <w:rFonts w:ascii="GHEA Grapalat" w:hAnsi="GHEA Grapalat" w:cs="Sylfaen"/>
                <w:sz w:val="20"/>
                <w:szCs w:val="20"/>
              </w:rPr>
            </w:pPr>
          </w:p>
        </w:tc>
        <w:tc>
          <w:tcPr>
            <w:tcW w:w="2562" w:type="dxa"/>
            <w:shd w:val="clear" w:color="auto" w:fill="FFFFFF" w:themeFill="background1"/>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Բաղադրիչ 4.</w:t>
            </w:r>
          </w:p>
          <w:p w:rsidR="0039424C" w:rsidRPr="003C5457" w:rsidRDefault="00E975C7" w:rsidP="00E975C7">
            <w:pPr>
              <w:pStyle w:val="Bodytext20"/>
              <w:shd w:val="clear" w:color="auto" w:fill="auto"/>
              <w:tabs>
                <w:tab w:val="left" w:pos="307"/>
              </w:tabs>
              <w:spacing w:after="120" w:line="240" w:lineRule="auto"/>
              <w:ind w:left="307" w:right="-1" w:hanging="307"/>
              <w:jc w:val="left"/>
              <w:rPr>
                <w:rFonts w:ascii="GHEA Grapalat" w:hAnsi="GHEA Grapalat" w:cs="Sylfaen"/>
                <w:sz w:val="20"/>
                <w:szCs w:val="20"/>
              </w:rPr>
            </w:pPr>
            <w:r>
              <w:rPr>
                <w:rFonts w:ascii="GHEA Grapalat" w:hAnsi="GHEA Grapalat"/>
                <w:b/>
                <w:sz w:val="20"/>
                <w:szCs w:val="20"/>
              </w:rPr>
              <w:t>●</w:t>
            </w:r>
            <w:r w:rsidRPr="00E975C7">
              <w:rPr>
                <w:rFonts w:ascii="GHEA Grapalat" w:hAnsi="GHEA Grapalat"/>
                <w:b/>
                <w:sz w:val="20"/>
                <w:szCs w:val="20"/>
              </w:rPr>
              <w:tab/>
            </w:r>
            <w:r w:rsidR="0039424C" w:rsidRPr="003C5457">
              <w:rPr>
                <w:rStyle w:val="Bodytext29pt3"/>
                <w:rFonts w:ascii="GHEA Grapalat" w:hAnsi="GHEA Grapalat"/>
                <w:sz w:val="20"/>
                <w:szCs w:val="20"/>
              </w:rPr>
              <w:t>Ավիացիոն աջակցության տրամադրում ԵՄԱՏ համաձայնագրի իրականացման հարցում</w:t>
            </w:r>
          </w:p>
          <w:p w:rsidR="0039424C" w:rsidRPr="003C5457" w:rsidRDefault="00E975C7" w:rsidP="00591E2F">
            <w:pPr>
              <w:pStyle w:val="Bodytext20"/>
              <w:shd w:val="clear" w:color="auto" w:fill="auto"/>
              <w:tabs>
                <w:tab w:val="left" w:pos="307"/>
              </w:tabs>
              <w:spacing w:after="120" w:line="240" w:lineRule="auto"/>
              <w:ind w:left="307" w:right="-1" w:hanging="307"/>
              <w:jc w:val="left"/>
              <w:rPr>
                <w:rFonts w:ascii="GHEA Grapalat" w:hAnsi="GHEA Grapalat" w:cs="Sylfaen"/>
                <w:sz w:val="20"/>
                <w:szCs w:val="20"/>
              </w:rPr>
            </w:pPr>
            <w:r>
              <w:rPr>
                <w:rFonts w:ascii="GHEA Grapalat" w:hAnsi="GHEA Grapalat"/>
                <w:b/>
                <w:sz w:val="20"/>
                <w:szCs w:val="20"/>
              </w:rPr>
              <w:t>●</w:t>
            </w:r>
            <w:r w:rsidRPr="00E975C7">
              <w:rPr>
                <w:rFonts w:ascii="GHEA Grapalat" w:hAnsi="GHEA Grapalat"/>
                <w:b/>
                <w:sz w:val="20"/>
                <w:szCs w:val="20"/>
              </w:rPr>
              <w:tab/>
            </w:r>
            <w:r w:rsidR="0039424C" w:rsidRPr="003C5457">
              <w:rPr>
                <w:rStyle w:val="Bodytext29pt3"/>
                <w:rFonts w:ascii="GHEA Grapalat" w:hAnsi="GHEA Grapalat"/>
                <w:sz w:val="20"/>
                <w:szCs w:val="20"/>
              </w:rPr>
              <w:t>Էներգաար</w:t>
            </w:r>
            <w:r w:rsidR="00591E2F" w:rsidRPr="00591E2F">
              <w:rPr>
                <w:rStyle w:val="Bodytext29pt3"/>
                <w:rFonts w:ascii="GHEA Grapalat" w:hAnsi="GHEA Grapalat"/>
                <w:sz w:val="20"/>
                <w:szCs w:val="20"/>
              </w:rPr>
              <w:t>-</w:t>
            </w:r>
            <w:r w:rsidR="0039424C" w:rsidRPr="003C5457">
              <w:rPr>
                <w:rStyle w:val="Bodytext29pt3"/>
                <w:rFonts w:ascii="GHEA Grapalat" w:hAnsi="GHEA Grapalat"/>
                <w:sz w:val="20"/>
                <w:szCs w:val="20"/>
              </w:rPr>
              <w:t>դյունավետության եւ վերականգնվող էներգիայի շուկայի զարգացում</w:t>
            </w:r>
          </w:p>
        </w:tc>
        <w:tc>
          <w:tcPr>
            <w:tcW w:w="2389" w:type="dxa"/>
            <w:gridSpan w:val="2"/>
            <w:shd w:val="clear" w:color="auto" w:fill="FFFFFF" w:themeFill="background1"/>
          </w:tcPr>
          <w:p w:rsidR="0039424C" w:rsidRPr="003C5457" w:rsidRDefault="00E975C7" w:rsidP="00591E2F">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b/>
              </w:rPr>
              <w:t>●</w:t>
            </w:r>
            <w:r w:rsidRPr="00E975C7">
              <w:rPr>
                <w:b/>
              </w:rPr>
              <w:tab/>
            </w:r>
            <w:r w:rsidR="0039424C" w:rsidRPr="003C5457">
              <w:rPr>
                <w:rStyle w:val="Bodytext29pt3"/>
                <w:rFonts w:ascii="GHEA Grapalat" w:hAnsi="GHEA Grapalat"/>
                <w:sz w:val="20"/>
                <w:szCs w:val="20"/>
              </w:rPr>
              <w:t xml:space="preserve">ԵՄ-Հայաստան ԵԸԱԳ համաձայնագրի դրույթներին </w:t>
            </w:r>
            <w:r w:rsidR="0039424C" w:rsidRPr="00333214">
              <w:rPr>
                <w:rStyle w:val="Bodytext29pt3"/>
                <w:rFonts w:ascii="GHEA Grapalat" w:hAnsi="GHEA Grapalat"/>
                <w:spacing w:val="-6"/>
                <w:sz w:val="20"/>
                <w:szCs w:val="20"/>
              </w:rPr>
              <w:t>համապատասխա</w:t>
            </w:r>
            <w:r w:rsidR="0039424C" w:rsidRPr="003C5457">
              <w:rPr>
                <w:rStyle w:val="Bodytext29pt3"/>
                <w:rFonts w:ascii="GHEA Grapalat" w:hAnsi="GHEA Grapalat"/>
                <w:sz w:val="20"/>
                <w:szCs w:val="20"/>
              </w:rPr>
              <w:t>ն իրականացված միջոցառումների քանակը</w:t>
            </w:r>
          </w:p>
          <w:p w:rsidR="0039424C" w:rsidRPr="003C5457" w:rsidRDefault="00E975C7" w:rsidP="00591E2F">
            <w:pPr>
              <w:pStyle w:val="Bodytext20"/>
              <w:shd w:val="clear" w:color="auto" w:fill="auto"/>
              <w:tabs>
                <w:tab w:val="left" w:pos="438"/>
              </w:tabs>
              <w:spacing w:after="120" w:line="240" w:lineRule="auto"/>
              <w:ind w:left="438" w:right="-1" w:hanging="438"/>
              <w:jc w:val="left"/>
              <w:rPr>
                <w:rFonts w:ascii="GHEA Grapalat" w:hAnsi="GHEA Grapalat" w:cs="Sylfaen"/>
                <w:sz w:val="20"/>
                <w:szCs w:val="20"/>
              </w:rPr>
            </w:pPr>
            <w:r>
              <w:rPr>
                <w:rFonts w:ascii="GHEA Grapalat" w:hAnsi="GHEA Grapalat"/>
                <w:b/>
                <w:sz w:val="20"/>
                <w:szCs w:val="20"/>
              </w:rPr>
              <w:t>●</w:t>
            </w:r>
            <w:r w:rsidRPr="00E975C7">
              <w:rPr>
                <w:rFonts w:ascii="GHEA Grapalat" w:hAnsi="GHEA Grapalat"/>
                <w:b/>
                <w:sz w:val="20"/>
                <w:szCs w:val="20"/>
              </w:rPr>
              <w:tab/>
            </w:r>
            <w:r w:rsidR="0039424C" w:rsidRPr="003C5457">
              <w:rPr>
                <w:rStyle w:val="Bodytext29pt3"/>
                <w:rFonts w:ascii="GHEA Grapalat" w:hAnsi="GHEA Grapalat"/>
                <w:sz w:val="20"/>
                <w:szCs w:val="20"/>
              </w:rPr>
              <w:t>ԷԱ/ՎԷ-ի տոկոսը էներգիայի ընդհանուր հաշվեկշռում</w:t>
            </w:r>
          </w:p>
        </w:tc>
        <w:tc>
          <w:tcPr>
            <w:tcW w:w="1852"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առաջին գործողությամբ կսահմանվեն ելակետային ցուցանիշներ (2018 թվական)</w:t>
            </w:r>
          </w:p>
        </w:tc>
        <w:tc>
          <w:tcPr>
            <w:tcW w:w="1550"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Տեխնիկական աջակցության ելակետային ցուցանիշներ (2020 թվական)</w:t>
            </w:r>
          </w:p>
        </w:tc>
        <w:tc>
          <w:tcPr>
            <w:tcW w:w="2126" w:type="dxa"/>
          </w:tcPr>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ԵՄ/Հայաստան զեկույցներ</w:t>
            </w:r>
          </w:p>
          <w:p w:rsidR="0039424C" w:rsidRPr="003C5457" w:rsidRDefault="0039424C" w:rsidP="008C567B">
            <w:pPr>
              <w:pStyle w:val="Bodytext20"/>
              <w:shd w:val="clear" w:color="auto" w:fill="auto"/>
              <w:spacing w:after="120" w:line="240" w:lineRule="auto"/>
              <w:ind w:right="-1" w:firstLine="0"/>
              <w:jc w:val="left"/>
              <w:rPr>
                <w:rFonts w:ascii="GHEA Grapalat" w:hAnsi="GHEA Grapalat" w:cs="Sylfaen"/>
                <w:sz w:val="20"/>
                <w:szCs w:val="20"/>
              </w:rPr>
            </w:pPr>
            <w:r w:rsidRPr="003C5457">
              <w:rPr>
                <w:rStyle w:val="Bodytext29pt3"/>
                <w:rFonts w:ascii="GHEA Grapalat" w:hAnsi="GHEA Grapalat"/>
                <w:sz w:val="20"/>
                <w:szCs w:val="20"/>
              </w:rPr>
              <w:t>ԷՄԳ հաշվետվություններ/ԱՎԾ հաշվետվություններ</w:t>
            </w:r>
          </w:p>
        </w:tc>
        <w:tc>
          <w:tcPr>
            <w:tcW w:w="2268" w:type="dxa"/>
          </w:tcPr>
          <w:p w:rsidR="0039424C" w:rsidRPr="003C5457" w:rsidRDefault="0039424C" w:rsidP="008C567B">
            <w:pPr>
              <w:spacing w:after="120"/>
              <w:ind w:right="-1"/>
              <w:rPr>
                <w:rFonts w:ascii="GHEA Grapalat" w:hAnsi="GHEA Grapalat" w:cs="Sylfaen"/>
                <w:sz w:val="20"/>
                <w:szCs w:val="20"/>
              </w:rPr>
            </w:pPr>
          </w:p>
        </w:tc>
      </w:tr>
    </w:tbl>
    <w:p w:rsidR="00C15D0A" w:rsidRPr="00A350E1" w:rsidRDefault="00C15D0A" w:rsidP="00A350E1">
      <w:pPr>
        <w:spacing w:after="160" w:line="360" w:lineRule="auto"/>
        <w:ind w:right="-1"/>
        <w:jc w:val="both"/>
        <w:rPr>
          <w:rFonts w:ascii="GHEA Grapalat" w:hAnsi="GHEA Grapalat" w:cs="Sylfaen"/>
        </w:rPr>
      </w:pPr>
    </w:p>
    <w:sectPr w:rsidR="00C15D0A" w:rsidRPr="00A350E1" w:rsidSect="003F7011">
      <w:pgSz w:w="16839" w:h="11907" w:code="9"/>
      <w:pgMar w:top="1418" w:right="1418" w:bottom="1418" w:left="1418" w:header="0" w:footer="67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EA" w:rsidRDefault="00CA58EA" w:rsidP="00C15D0A">
      <w:r>
        <w:separator/>
      </w:r>
    </w:p>
  </w:endnote>
  <w:endnote w:type="continuationSeparator" w:id="0">
    <w:p w:rsidR="00CA58EA" w:rsidRDefault="00CA58EA" w:rsidP="00C15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2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74520"/>
      <w:docPartObj>
        <w:docPartGallery w:val="Page Numbers (Bottom of Page)"/>
        <w:docPartUnique/>
      </w:docPartObj>
    </w:sdtPr>
    <w:sdtEndPr>
      <w:rPr>
        <w:rFonts w:ascii="GHEA Grapalat" w:hAnsi="GHEA Grapalat"/>
      </w:rPr>
    </w:sdtEndPr>
    <w:sdtContent>
      <w:p w:rsidR="002139E2" w:rsidRPr="003F7011" w:rsidRDefault="002139E2" w:rsidP="003F7011">
        <w:pPr>
          <w:pStyle w:val="Footer"/>
          <w:jc w:val="center"/>
          <w:rPr>
            <w:rFonts w:ascii="GHEA Grapalat" w:hAnsi="GHEA Grapalat"/>
          </w:rPr>
        </w:pPr>
        <w:r w:rsidRPr="003F7011">
          <w:rPr>
            <w:rFonts w:ascii="GHEA Grapalat" w:hAnsi="GHEA Grapalat"/>
          </w:rPr>
          <w:fldChar w:fldCharType="begin"/>
        </w:r>
        <w:r w:rsidRPr="003F7011">
          <w:rPr>
            <w:rFonts w:ascii="GHEA Grapalat" w:hAnsi="GHEA Grapalat"/>
          </w:rPr>
          <w:instrText xml:space="preserve"> PAGE   \* MERGEFORMAT </w:instrText>
        </w:r>
        <w:r w:rsidRPr="003F7011">
          <w:rPr>
            <w:rFonts w:ascii="GHEA Grapalat" w:hAnsi="GHEA Grapalat"/>
          </w:rPr>
          <w:fldChar w:fldCharType="separate"/>
        </w:r>
        <w:r w:rsidR="00333214">
          <w:rPr>
            <w:rFonts w:ascii="GHEA Grapalat" w:hAnsi="GHEA Grapalat"/>
            <w:noProof/>
          </w:rPr>
          <w:t>17</w:t>
        </w:r>
        <w:r w:rsidRPr="003F7011">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EA" w:rsidRDefault="00CA58EA">
      <w:r>
        <w:separator/>
      </w:r>
    </w:p>
  </w:footnote>
  <w:footnote w:type="continuationSeparator" w:id="0">
    <w:p w:rsidR="00CA58EA" w:rsidRDefault="00CA58EA">
      <w:r>
        <w:continuationSeparator/>
      </w:r>
    </w:p>
  </w:footnote>
  <w:footnote w:id="1">
    <w:p w:rsidR="002139E2" w:rsidRPr="00C1754D" w:rsidRDefault="002139E2" w:rsidP="00C1754D">
      <w:pPr>
        <w:pStyle w:val="FootnoteText"/>
        <w:jc w:val="both"/>
        <w:rPr>
          <w:rFonts w:ascii="GHEA Grapalat" w:hAnsi="GHEA Grapalat"/>
        </w:rPr>
      </w:pPr>
      <w:r w:rsidRPr="00C1754D">
        <w:rPr>
          <w:rStyle w:val="FootnoteReference"/>
          <w:rFonts w:ascii="GHEA Grapalat" w:hAnsi="GHEA Grapalat"/>
        </w:rPr>
        <w:footnoteRef/>
      </w:r>
      <w:r w:rsidRPr="00C1754D">
        <w:rPr>
          <w:rFonts w:ascii="GHEA Grapalat" w:hAnsi="GHEA Grapalat"/>
        </w:rPr>
        <w:t xml:space="preserve"> </w:t>
      </w:r>
      <w:r w:rsidRPr="00C1754D">
        <w:rPr>
          <w:rStyle w:val="Footnote2"/>
          <w:rFonts w:ascii="GHEA Grapalat" w:eastAsia="Segoe UI" w:hAnsi="GHEA Grapalat"/>
          <w:sz w:val="20"/>
          <w:szCs w:val="20"/>
        </w:rPr>
        <w:t>https:ecas.europa.en/</w:t>
      </w:r>
      <w:r w:rsidRPr="00C1754D">
        <w:rPr>
          <w:rStyle w:val="FootnoteBold"/>
          <w:rFonts w:ascii="GHEA Grapalat" w:eastAsia="Segoe UI" w:hAnsi="GHEA Grapalat"/>
          <w:i w:val="0"/>
          <w:sz w:val="20"/>
          <w:szCs w:val="20"/>
        </w:rPr>
        <w:t xml:space="preserve"> </w:t>
      </w:r>
      <w:r w:rsidRPr="00C1754D">
        <w:rPr>
          <w:rStyle w:val="Footnote2"/>
          <w:rFonts w:ascii="GHEA Grapalat" w:eastAsia="Segoe UI" w:hAnsi="GHEA Grapalat"/>
          <w:sz w:val="20"/>
          <w:szCs w:val="20"/>
        </w:rPr>
        <w:t>headquarters/headquarters-homepage- 8442/consolidated-list-sanclions en</w:t>
      </w:r>
    </w:p>
  </w:footnote>
  <w:footnote w:id="2">
    <w:p w:rsidR="002139E2" w:rsidRPr="00C1754D" w:rsidRDefault="002139E2" w:rsidP="00C1754D">
      <w:pPr>
        <w:pStyle w:val="FootnoteText"/>
        <w:jc w:val="both"/>
        <w:rPr>
          <w:rFonts w:ascii="GHEA Grapalat" w:hAnsi="GHEA Grapalat"/>
        </w:rPr>
      </w:pPr>
      <w:r w:rsidRPr="00C1754D">
        <w:rPr>
          <w:rStyle w:val="FootnoteReference"/>
          <w:rFonts w:ascii="GHEA Grapalat" w:hAnsi="GHEA Grapalat"/>
        </w:rPr>
        <w:footnoteRef/>
      </w:r>
      <w:r w:rsidRPr="00C1754D">
        <w:rPr>
          <w:rFonts w:ascii="GHEA Grapalat" w:hAnsi="GHEA Grapalat"/>
        </w:rPr>
        <w:t xml:space="preserve"> </w:t>
      </w:r>
      <w:r w:rsidRPr="00C1754D">
        <w:rPr>
          <w:rStyle w:val="Footnote1"/>
          <w:rFonts w:ascii="GHEA Grapalat" w:eastAsia="Segoe UI" w:hAnsi="GHEA Grapalat"/>
          <w:sz w:val="20"/>
          <w:szCs w:val="20"/>
        </w:rPr>
        <w:t>Ինչպես նախատեսված է Թվինինգ ձեռնարկով։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3CF"/>
    <w:multiLevelType w:val="multilevel"/>
    <w:tmpl w:val="3A369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72542"/>
    <w:multiLevelType w:val="multilevel"/>
    <w:tmpl w:val="2B2A3BE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162E9"/>
    <w:multiLevelType w:val="multilevel"/>
    <w:tmpl w:val="90406DC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719D6"/>
    <w:multiLevelType w:val="multilevel"/>
    <w:tmpl w:val="D06A28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497FC7"/>
    <w:multiLevelType w:val="multilevel"/>
    <w:tmpl w:val="982C50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F219E5"/>
    <w:multiLevelType w:val="multilevel"/>
    <w:tmpl w:val="381E3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839B2"/>
    <w:multiLevelType w:val="multilevel"/>
    <w:tmpl w:val="562E993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0655A9"/>
    <w:multiLevelType w:val="multilevel"/>
    <w:tmpl w:val="D82CB59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162137"/>
    <w:multiLevelType w:val="multilevel"/>
    <w:tmpl w:val="FD50A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3804C1"/>
    <w:multiLevelType w:val="multilevel"/>
    <w:tmpl w:val="208CE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077DB"/>
    <w:multiLevelType w:val="multilevel"/>
    <w:tmpl w:val="B2701BA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1479D5"/>
    <w:multiLevelType w:val="multilevel"/>
    <w:tmpl w:val="5AAA9D1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9D4C9F"/>
    <w:multiLevelType w:val="multilevel"/>
    <w:tmpl w:val="4FB425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1C6E1C"/>
    <w:multiLevelType w:val="multilevel"/>
    <w:tmpl w:val="02AA8B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490C9F"/>
    <w:multiLevelType w:val="multilevel"/>
    <w:tmpl w:val="A962B326"/>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1C4C84"/>
    <w:multiLevelType w:val="multilevel"/>
    <w:tmpl w:val="788C21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A10B87"/>
    <w:multiLevelType w:val="multilevel"/>
    <w:tmpl w:val="CCAA52C8"/>
    <w:lvl w:ilvl="0">
      <w:start w:val="151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705C5E"/>
    <w:multiLevelType w:val="multilevel"/>
    <w:tmpl w:val="845648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7D58AA"/>
    <w:multiLevelType w:val="multilevel"/>
    <w:tmpl w:val="7128A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915022"/>
    <w:multiLevelType w:val="multilevel"/>
    <w:tmpl w:val="B7027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3"/>
  </w:num>
  <w:num w:numId="4">
    <w:abstractNumId w:val="0"/>
  </w:num>
  <w:num w:numId="5">
    <w:abstractNumId w:val="1"/>
  </w:num>
  <w:num w:numId="6">
    <w:abstractNumId w:val="15"/>
  </w:num>
  <w:num w:numId="7">
    <w:abstractNumId w:val="17"/>
  </w:num>
  <w:num w:numId="8">
    <w:abstractNumId w:val="13"/>
  </w:num>
  <w:num w:numId="9">
    <w:abstractNumId w:val="18"/>
  </w:num>
  <w:num w:numId="10">
    <w:abstractNumId w:val="7"/>
  </w:num>
  <w:num w:numId="11">
    <w:abstractNumId w:val="6"/>
  </w:num>
  <w:num w:numId="12">
    <w:abstractNumId w:val="9"/>
  </w:num>
  <w:num w:numId="13">
    <w:abstractNumId w:val="14"/>
  </w:num>
  <w:num w:numId="14">
    <w:abstractNumId w:val="8"/>
  </w:num>
  <w:num w:numId="15">
    <w:abstractNumId w:val="10"/>
  </w:num>
  <w:num w:numId="16">
    <w:abstractNumId w:val="11"/>
  </w:num>
  <w:num w:numId="17">
    <w:abstractNumId w:val="5"/>
  </w:num>
  <w:num w:numId="18">
    <w:abstractNumId w:val="2"/>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C15D0A"/>
    <w:rsid w:val="00040A0F"/>
    <w:rsid w:val="00044A13"/>
    <w:rsid w:val="00045D5B"/>
    <w:rsid w:val="00046A78"/>
    <w:rsid w:val="00046B62"/>
    <w:rsid w:val="00047238"/>
    <w:rsid w:val="00062C2E"/>
    <w:rsid w:val="0007677E"/>
    <w:rsid w:val="00085E61"/>
    <w:rsid w:val="00095E2A"/>
    <w:rsid w:val="000A3E60"/>
    <w:rsid w:val="000B71D9"/>
    <w:rsid w:val="000F193F"/>
    <w:rsid w:val="000F3A13"/>
    <w:rsid w:val="0011168B"/>
    <w:rsid w:val="001118B9"/>
    <w:rsid w:val="00111E3F"/>
    <w:rsid w:val="00123B44"/>
    <w:rsid w:val="00126E49"/>
    <w:rsid w:val="00127F38"/>
    <w:rsid w:val="00127F70"/>
    <w:rsid w:val="00133400"/>
    <w:rsid w:val="00136872"/>
    <w:rsid w:val="001378CA"/>
    <w:rsid w:val="0015153E"/>
    <w:rsid w:val="00160D28"/>
    <w:rsid w:val="00166929"/>
    <w:rsid w:val="00170559"/>
    <w:rsid w:val="00172336"/>
    <w:rsid w:val="00173D03"/>
    <w:rsid w:val="001803C6"/>
    <w:rsid w:val="001A56F8"/>
    <w:rsid w:val="001A58C9"/>
    <w:rsid w:val="001B48F1"/>
    <w:rsid w:val="001C1052"/>
    <w:rsid w:val="001C5F4F"/>
    <w:rsid w:val="001D0D38"/>
    <w:rsid w:val="001F2E74"/>
    <w:rsid w:val="001F4C79"/>
    <w:rsid w:val="001F4E25"/>
    <w:rsid w:val="00201263"/>
    <w:rsid w:val="002046FA"/>
    <w:rsid w:val="00204890"/>
    <w:rsid w:val="00206891"/>
    <w:rsid w:val="002139E2"/>
    <w:rsid w:val="00220856"/>
    <w:rsid w:val="0023783D"/>
    <w:rsid w:val="002417B4"/>
    <w:rsid w:val="0025325C"/>
    <w:rsid w:val="002628E1"/>
    <w:rsid w:val="00266938"/>
    <w:rsid w:val="002A235D"/>
    <w:rsid w:val="002B7861"/>
    <w:rsid w:val="002C5199"/>
    <w:rsid w:val="002D3F38"/>
    <w:rsid w:val="002E2DD1"/>
    <w:rsid w:val="002F4FB8"/>
    <w:rsid w:val="002F5A00"/>
    <w:rsid w:val="002F5FDD"/>
    <w:rsid w:val="00301A43"/>
    <w:rsid w:val="00316016"/>
    <w:rsid w:val="003213B3"/>
    <w:rsid w:val="00327C3F"/>
    <w:rsid w:val="00331AC8"/>
    <w:rsid w:val="00333214"/>
    <w:rsid w:val="00353862"/>
    <w:rsid w:val="003568C3"/>
    <w:rsid w:val="00367279"/>
    <w:rsid w:val="003768FF"/>
    <w:rsid w:val="00385305"/>
    <w:rsid w:val="0039159F"/>
    <w:rsid w:val="0039424C"/>
    <w:rsid w:val="003A5143"/>
    <w:rsid w:val="003C1B35"/>
    <w:rsid w:val="003C5457"/>
    <w:rsid w:val="003D09C2"/>
    <w:rsid w:val="003D18E8"/>
    <w:rsid w:val="003D5F9D"/>
    <w:rsid w:val="003E0F99"/>
    <w:rsid w:val="003E23DD"/>
    <w:rsid w:val="003E6042"/>
    <w:rsid w:val="003F0EAA"/>
    <w:rsid w:val="003F7011"/>
    <w:rsid w:val="00403166"/>
    <w:rsid w:val="00453E93"/>
    <w:rsid w:val="004554F4"/>
    <w:rsid w:val="00461F7C"/>
    <w:rsid w:val="00474782"/>
    <w:rsid w:val="00477C2E"/>
    <w:rsid w:val="004803A3"/>
    <w:rsid w:val="00490A98"/>
    <w:rsid w:val="00491EEF"/>
    <w:rsid w:val="00495BEE"/>
    <w:rsid w:val="00496EF5"/>
    <w:rsid w:val="004C79AB"/>
    <w:rsid w:val="004E0D78"/>
    <w:rsid w:val="004E1032"/>
    <w:rsid w:val="00502162"/>
    <w:rsid w:val="00520E4C"/>
    <w:rsid w:val="00536A9E"/>
    <w:rsid w:val="00545366"/>
    <w:rsid w:val="00546D98"/>
    <w:rsid w:val="005553D9"/>
    <w:rsid w:val="00564767"/>
    <w:rsid w:val="005653FD"/>
    <w:rsid w:val="00581503"/>
    <w:rsid w:val="00591E2F"/>
    <w:rsid w:val="005951F6"/>
    <w:rsid w:val="0059629F"/>
    <w:rsid w:val="00596B27"/>
    <w:rsid w:val="005B055D"/>
    <w:rsid w:val="005B64CD"/>
    <w:rsid w:val="005D1BEA"/>
    <w:rsid w:val="005D42CF"/>
    <w:rsid w:val="005E464B"/>
    <w:rsid w:val="005F0179"/>
    <w:rsid w:val="006024E9"/>
    <w:rsid w:val="00617333"/>
    <w:rsid w:val="00617988"/>
    <w:rsid w:val="00643FA5"/>
    <w:rsid w:val="006457E2"/>
    <w:rsid w:val="006628A9"/>
    <w:rsid w:val="0066596E"/>
    <w:rsid w:val="00675BA2"/>
    <w:rsid w:val="00677A98"/>
    <w:rsid w:val="00687424"/>
    <w:rsid w:val="00687F11"/>
    <w:rsid w:val="006A58EC"/>
    <w:rsid w:val="006B4CE8"/>
    <w:rsid w:val="006E1990"/>
    <w:rsid w:val="006F1179"/>
    <w:rsid w:val="006F19C6"/>
    <w:rsid w:val="0072588A"/>
    <w:rsid w:val="0073303D"/>
    <w:rsid w:val="00735C1D"/>
    <w:rsid w:val="0076469C"/>
    <w:rsid w:val="007821C9"/>
    <w:rsid w:val="00783366"/>
    <w:rsid w:val="00795DAD"/>
    <w:rsid w:val="00797536"/>
    <w:rsid w:val="007B658B"/>
    <w:rsid w:val="007C026C"/>
    <w:rsid w:val="007C5234"/>
    <w:rsid w:val="007C5538"/>
    <w:rsid w:val="007D5F6D"/>
    <w:rsid w:val="007D68E6"/>
    <w:rsid w:val="007D7FF3"/>
    <w:rsid w:val="007E3C20"/>
    <w:rsid w:val="0081203C"/>
    <w:rsid w:val="00822F94"/>
    <w:rsid w:val="00832AEB"/>
    <w:rsid w:val="00834F33"/>
    <w:rsid w:val="00836A30"/>
    <w:rsid w:val="008448DD"/>
    <w:rsid w:val="00854C5A"/>
    <w:rsid w:val="00856A10"/>
    <w:rsid w:val="00856ED4"/>
    <w:rsid w:val="00862AF3"/>
    <w:rsid w:val="00874FE8"/>
    <w:rsid w:val="00883832"/>
    <w:rsid w:val="008A4D91"/>
    <w:rsid w:val="008B534B"/>
    <w:rsid w:val="008C08AA"/>
    <w:rsid w:val="008C567B"/>
    <w:rsid w:val="008D2003"/>
    <w:rsid w:val="008D2AF6"/>
    <w:rsid w:val="008D36E4"/>
    <w:rsid w:val="008E538E"/>
    <w:rsid w:val="008E6F77"/>
    <w:rsid w:val="00935902"/>
    <w:rsid w:val="00937864"/>
    <w:rsid w:val="009527CC"/>
    <w:rsid w:val="00957F2A"/>
    <w:rsid w:val="00970207"/>
    <w:rsid w:val="00982161"/>
    <w:rsid w:val="00982B8B"/>
    <w:rsid w:val="009A77D1"/>
    <w:rsid w:val="009B7C42"/>
    <w:rsid w:val="009D4F87"/>
    <w:rsid w:val="009F05EC"/>
    <w:rsid w:val="00A012B5"/>
    <w:rsid w:val="00A055CE"/>
    <w:rsid w:val="00A141C2"/>
    <w:rsid w:val="00A1596D"/>
    <w:rsid w:val="00A16FC2"/>
    <w:rsid w:val="00A350E1"/>
    <w:rsid w:val="00A35D63"/>
    <w:rsid w:val="00A67BB0"/>
    <w:rsid w:val="00A83AEC"/>
    <w:rsid w:val="00AA71C1"/>
    <w:rsid w:val="00AB6C9F"/>
    <w:rsid w:val="00AC581F"/>
    <w:rsid w:val="00AD1431"/>
    <w:rsid w:val="00AD3D93"/>
    <w:rsid w:val="00AE1F0F"/>
    <w:rsid w:val="00AF1836"/>
    <w:rsid w:val="00AF461A"/>
    <w:rsid w:val="00B06573"/>
    <w:rsid w:val="00B17B20"/>
    <w:rsid w:val="00B52AE9"/>
    <w:rsid w:val="00B65736"/>
    <w:rsid w:val="00B71869"/>
    <w:rsid w:val="00B84968"/>
    <w:rsid w:val="00B85CDA"/>
    <w:rsid w:val="00B866A1"/>
    <w:rsid w:val="00B95FC1"/>
    <w:rsid w:val="00BA1128"/>
    <w:rsid w:val="00BA1785"/>
    <w:rsid w:val="00BA1A98"/>
    <w:rsid w:val="00BA3E41"/>
    <w:rsid w:val="00BA601A"/>
    <w:rsid w:val="00BA7529"/>
    <w:rsid w:val="00BB2465"/>
    <w:rsid w:val="00BC17F0"/>
    <w:rsid w:val="00BC74E2"/>
    <w:rsid w:val="00BE2E5F"/>
    <w:rsid w:val="00BE7967"/>
    <w:rsid w:val="00C155D7"/>
    <w:rsid w:val="00C15D0A"/>
    <w:rsid w:val="00C1754D"/>
    <w:rsid w:val="00C201D5"/>
    <w:rsid w:val="00C24049"/>
    <w:rsid w:val="00C246AA"/>
    <w:rsid w:val="00C2552C"/>
    <w:rsid w:val="00C318DA"/>
    <w:rsid w:val="00C33336"/>
    <w:rsid w:val="00C73FC5"/>
    <w:rsid w:val="00C77264"/>
    <w:rsid w:val="00C84966"/>
    <w:rsid w:val="00C84ADB"/>
    <w:rsid w:val="00C9014B"/>
    <w:rsid w:val="00CA1220"/>
    <w:rsid w:val="00CA58EA"/>
    <w:rsid w:val="00CB48BD"/>
    <w:rsid w:val="00CC5892"/>
    <w:rsid w:val="00CC749E"/>
    <w:rsid w:val="00CD43D8"/>
    <w:rsid w:val="00CF122A"/>
    <w:rsid w:val="00CF1469"/>
    <w:rsid w:val="00CF59F1"/>
    <w:rsid w:val="00D0732C"/>
    <w:rsid w:val="00D20434"/>
    <w:rsid w:val="00D27FAB"/>
    <w:rsid w:val="00D377AA"/>
    <w:rsid w:val="00D42F21"/>
    <w:rsid w:val="00D52EEF"/>
    <w:rsid w:val="00D53817"/>
    <w:rsid w:val="00D66C5C"/>
    <w:rsid w:val="00D72404"/>
    <w:rsid w:val="00D77C14"/>
    <w:rsid w:val="00D82CB0"/>
    <w:rsid w:val="00D84FAC"/>
    <w:rsid w:val="00DA379E"/>
    <w:rsid w:val="00DC03D9"/>
    <w:rsid w:val="00DC5CE9"/>
    <w:rsid w:val="00DC6880"/>
    <w:rsid w:val="00DD556E"/>
    <w:rsid w:val="00DE43F3"/>
    <w:rsid w:val="00E000C8"/>
    <w:rsid w:val="00E1059B"/>
    <w:rsid w:val="00E115D3"/>
    <w:rsid w:val="00E142CE"/>
    <w:rsid w:val="00E221C1"/>
    <w:rsid w:val="00E33FC8"/>
    <w:rsid w:val="00E80AB3"/>
    <w:rsid w:val="00E84B3F"/>
    <w:rsid w:val="00E975C7"/>
    <w:rsid w:val="00EA5289"/>
    <w:rsid w:val="00EC0012"/>
    <w:rsid w:val="00ED29CD"/>
    <w:rsid w:val="00EE2A5A"/>
    <w:rsid w:val="00EE4C92"/>
    <w:rsid w:val="00EE57E9"/>
    <w:rsid w:val="00EE6494"/>
    <w:rsid w:val="00F00A12"/>
    <w:rsid w:val="00F03AF0"/>
    <w:rsid w:val="00F10869"/>
    <w:rsid w:val="00F17A24"/>
    <w:rsid w:val="00F34ACF"/>
    <w:rsid w:val="00F36B8A"/>
    <w:rsid w:val="00F40877"/>
    <w:rsid w:val="00F42A84"/>
    <w:rsid w:val="00F455D7"/>
    <w:rsid w:val="00F55D80"/>
    <w:rsid w:val="00F679BF"/>
    <w:rsid w:val="00F7301D"/>
    <w:rsid w:val="00F745F4"/>
    <w:rsid w:val="00F87F84"/>
    <w:rsid w:val="00F926D3"/>
    <w:rsid w:val="00F94F4A"/>
    <w:rsid w:val="00F95E1E"/>
    <w:rsid w:val="00F9644B"/>
    <w:rsid w:val="00FA3B47"/>
    <w:rsid w:val="00FA3BB4"/>
    <w:rsid w:val="00FB1A90"/>
    <w:rsid w:val="00FC6869"/>
    <w:rsid w:val="00FE0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5D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5D0A"/>
    <w:rPr>
      <w:color w:val="0066CC"/>
      <w:u w:val="single"/>
    </w:rPr>
  </w:style>
  <w:style w:type="character" w:customStyle="1" w:styleId="Bodytext3">
    <w:name w:val="Body text (3)_"/>
    <w:basedOn w:val="DefaultParagraphFont"/>
    <w:link w:val="Bodytext30"/>
    <w:rsid w:val="00C15D0A"/>
    <w:rPr>
      <w:rFonts w:ascii="Times New Roman" w:eastAsia="Times New Roman" w:hAnsi="Times New Roman" w:cs="Times New Roman"/>
      <w:b/>
      <w:bCs/>
      <w:i w:val="0"/>
      <w:iCs w:val="0"/>
      <w:smallCaps w:val="0"/>
      <w:strike w:val="0"/>
      <w:sz w:val="15"/>
      <w:szCs w:val="15"/>
      <w:u w:val="none"/>
    </w:rPr>
  </w:style>
  <w:style w:type="character" w:customStyle="1" w:styleId="Bodytext31">
    <w:name w:val="Body text (3)"/>
    <w:basedOn w:val="Bodytext3"/>
    <w:rsid w:val="00C15D0A"/>
    <w:rPr>
      <w:color w:val="000000"/>
      <w:spacing w:val="0"/>
      <w:w w:val="100"/>
      <w:position w:val="0"/>
      <w:lang w:val="hy-AM" w:eastAsia="hy-AM" w:bidi="hy-AM"/>
    </w:rPr>
  </w:style>
  <w:style w:type="character" w:customStyle="1" w:styleId="Bodytext32">
    <w:name w:val="Body text (3)"/>
    <w:basedOn w:val="Bodytext3"/>
    <w:rsid w:val="00C15D0A"/>
    <w:rPr>
      <w:color w:val="000000"/>
      <w:spacing w:val="0"/>
      <w:w w:val="100"/>
      <w:position w:val="0"/>
      <w:lang w:val="hy-AM" w:eastAsia="hy-AM" w:bidi="hy-AM"/>
    </w:rPr>
  </w:style>
  <w:style w:type="character" w:customStyle="1" w:styleId="Bodytext2">
    <w:name w:val="Body text (2)_"/>
    <w:basedOn w:val="DefaultParagraphFont"/>
    <w:link w:val="Bodytext20"/>
    <w:rsid w:val="00C15D0A"/>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sid w:val="00C15D0A"/>
    <w:rPr>
      <w:color w:val="000000"/>
      <w:spacing w:val="0"/>
      <w:w w:val="100"/>
      <w:position w:val="0"/>
      <w:lang w:val="hy-AM" w:eastAsia="hy-AM" w:bidi="hy-AM"/>
    </w:rPr>
  </w:style>
  <w:style w:type="character" w:customStyle="1" w:styleId="Bodytext29pt">
    <w:name w:val="Body text (2) + 9 pt"/>
    <w:aliases w:val="Bold"/>
    <w:basedOn w:val="Bodytext2"/>
    <w:rsid w:val="00C15D0A"/>
    <w:rPr>
      <w:b/>
      <w:bCs/>
      <w:color w:val="000000"/>
      <w:spacing w:val="0"/>
      <w:w w:val="100"/>
      <w:position w:val="0"/>
      <w:sz w:val="18"/>
      <w:szCs w:val="18"/>
      <w:lang w:val="hy-AM" w:eastAsia="hy-AM" w:bidi="hy-AM"/>
    </w:rPr>
  </w:style>
  <w:style w:type="character" w:customStyle="1" w:styleId="Bodytext2Bold">
    <w:name w:val="Body text (2) + Bold"/>
    <w:basedOn w:val="Bodytext2"/>
    <w:rsid w:val="00C15D0A"/>
    <w:rPr>
      <w:b/>
      <w:bCs/>
      <w:color w:val="000000"/>
      <w:spacing w:val="0"/>
      <w:w w:val="100"/>
      <w:position w:val="0"/>
      <w:lang w:val="hy-AM" w:eastAsia="hy-AM" w:bidi="hy-AM"/>
    </w:rPr>
  </w:style>
  <w:style w:type="character" w:customStyle="1" w:styleId="Bodytext22">
    <w:name w:val="Body text (2)"/>
    <w:basedOn w:val="Bodytext2"/>
    <w:rsid w:val="00C15D0A"/>
    <w:rPr>
      <w:color w:val="000000"/>
      <w:spacing w:val="0"/>
      <w:w w:val="100"/>
      <w:position w:val="0"/>
      <w:lang w:val="hy-AM" w:eastAsia="hy-AM" w:bidi="hy-AM"/>
    </w:rPr>
  </w:style>
  <w:style w:type="character" w:customStyle="1" w:styleId="Bodytext23">
    <w:name w:val="Body text (2)"/>
    <w:basedOn w:val="Bodytext2"/>
    <w:rsid w:val="00C15D0A"/>
    <w:rPr>
      <w:color w:val="000000"/>
      <w:spacing w:val="0"/>
      <w:w w:val="100"/>
      <w:position w:val="0"/>
      <w:lang w:val="hy-AM" w:eastAsia="hy-AM" w:bidi="hy-AM"/>
    </w:rPr>
  </w:style>
  <w:style w:type="character" w:customStyle="1" w:styleId="Bodytext24">
    <w:name w:val="Body text (2)"/>
    <w:basedOn w:val="Bodytext2"/>
    <w:rsid w:val="00C15D0A"/>
    <w:rPr>
      <w:color w:val="000000"/>
      <w:spacing w:val="0"/>
      <w:w w:val="100"/>
      <w:position w:val="0"/>
      <w:lang w:val="hy-AM" w:eastAsia="hy-AM" w:bidi="hy-AM"/>
    </w:rPr>
  </w:style>
  <w:style w:type="character" w:customStyle="1" w:styleId="Bodytext25">
    <w:name w:val="Body text (2)"/>
    <w:basedOn w:val="Bodytext2"/>
    <w:rsid w:val="00C15D0A"/>
    <w:rPr>
      <w:color w:val="000000"/>
      <w:spacing w:val="0"/>
      <w:w w:val="100"/>
      <w:position w:val="0"/>
      <w:lang w:val="hy-AM" w:eastAsia="hy-AM" w:bidi="hy-AM"/>
    </w:rPr>
  </w:style>
  <w:style w:type="character" w:customStyle="1" w:styleId="Heading2">
    <w:name w:val="Heading #2_"/>
    <w:basedOn w:val="DefaultParagraphFont"/>
    <w:link w:val="Heading20"/>
    <w:rsid w:val="00C15D0A"/>
    <w:rPr>
      <w:rFonts w:ascii="Times New Roman" w:eastAsia="Times New Roman" w:hAnsi="Times New Roman" w:cs="Times New Roman"/>
      <w:b/>
      <w:bCs/>
      <w:i w:val="0"/>
      <w:iCs w:val="0"/>
      <w:smallCaps w:val="0"/>
      <w:strike w:val="0"/>
      <w:sz w:val="22"/>
      <w:szCs w:val="22"/>
      <w:u w:val="none"/>
    </w:rPr>
  </w:style>
  <w:style w:type="character" w:customStyle="1" w:styleId="Heading21">
    <w:name w:val="Heading #2"/>
    <w:basedOn w:val="Heading2"/>
    <w:rsid w:val="00C15D0A"/>
    <w:rPr>
      <w:color w:val="000000"/>
      <w:spacing w:val="0"/>
      <w:w w:val="100"/>
      <w:position w:val="0"/>
      <w:lang w:val="hy-AM" w:eastAsia="hy-AM" w:bidi="hy-AM"/>
    </w:rPr>
  </w:style>
  <w:style w:type="character" w:customStyle="1" w:styleId="Bodytext26">
    <w:name w:val="Body text (2)"/>
    <w:basedOn w:val="Bodytext2"/>
    <w:rsid w:val="00C15D0A"/>
    <w:rPr>
      <w:color w:val="000000"/>
      <w:spacing w:val="0"/>
      <w:w w:val="100"/>
      <w:position w:val="0"/>
      <w:lang w:val="hy-AM" w:eastAsia="hy-AM" w:bidi="hy-AM"/>
    </w:rPr>
  </w:style>
  <w:style w:type="character" w:customStyle="1" w:styleId="Heading22">
    <w:name w:val="Heading #2"/>
    <w:basedOn w:val="Heading2"/>
    <w:rsid w:val="00C15D0A"/>
    <w:rPr>
      <w:color w:val="000000"/>
      <w:spacing w:val="0"/>
      <w:w w:val="100"/>
      <w:position w:val="0"/>
      <w:u w:val="single"/>
      <w:lang w:val="hy-AM" w:eastAsia="hy-AM" w:bidi="hy-AM"/>
    </w:rPr>
  </w:style>
  <w:style w:type="character" w:customStyle="1" w:styleId="Bodytext4">
    <w:name w:val="Body text (4)_"/>
    <w:basedOn w:val="DefaultParagraphFont"/>
    <w:link w:val="Bodytext40"/>
    <w:rsid w:val="00C15D0A"/>
    <w:rPr>
      <w:rFonts w:ascii="Times New Roman" w:eastAsia="Times New Roman" w:hAnsi="Times New Roman" w:cs="Times New Roman"/>
      <w:b w:val="0"/>
      <w:bCs w:val="0"/>
      <w:i/>
      <w:iCs/>
      <w:smallCaps w:val="0"/>
      <w:strike w:val="0"/>
      <w:sz w:val="22"/>
      <w:szCs w:val="22"/>
      <w:u w:val="none"/>
    </w:rPr>
  </w:style>
  <w:style w:type="character" w:customStyle="1" w:styleId="Bodytext416pt">
    <w:name w:val="Body text (4) + 16 pt"/>
    <w:aliases w:val="Not Italic"/>
    <w:basedOn w:val="Bodytext4"/>
    <w:rsid w:val="00C15D0A"/>
    <w:rPr>
      <w:i/>
      <w:iCs/>
      <w:color w:val="000000"/>
      <w:spacing w:val="0"/>
      <w:w w:val="100"/>
      <w:position w:val="0"/>
      <w:sz w:val="32"/>
      <w:szCs w:val="32"/>
      <w:lang w:val="hy-AM" w:eastAsia="hy-AM" w:bidi="hy-AM"/>
    </w:rPr>
  </w:style>
  <w:style w:type="character" w:customStyle="1" w:styleId="Bodytext41">
    <w:name w:val="Body text (4)"/>
    <w:basedOn w:val="Bodytext4"/>
    <w:rsid w:val="00C15D0A"/>
    <w:rPr>
      <w:color w:val="000000"/>
      <w:spacing w:val="0"/>
      <w:w w:val="100"/>
      <w:position w:val="0"/>
      <w:lang w:val="hy-AM" w:eastAsia="hy-AM" w:bidi="hy-AM"/>
    </w:rPr>
  </w:style>
  <w:style w:type="character" w:customStyle="1" w:styleId="Bodytext42">
    <w:name w:val="Body text (4)"/>
    <w:basedOn w:val="Bodytext4"/>
    <w:rsid w:val="00C15D0A"/>
    <w:rPr>
      <w:color w:val="000000"/>
      <w:spacing w:val="0"/>
      <w:w w:val="100"/>
      <w:position w:val="0"/>
      <w:lang w:val="hy-AM" w:eastAsia="hy-AM" w:bidi="hy-AM"/>
    </w:rPr>
  </w:style>
  <w:style w:type="character" w:customStyle="1" w:styleId="Bodytext5">
    <w:name w:val="Body text (5)_"/>
    <w:basedOn w:val="DefaultParagraphFont"/>
    <w:link w:val="Bodytext50"/>
    <w:rsid w:val="00C15D0A"/>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sid w:val="00C15D0A"/>
    <w:rPr>
      <w:color w:val="000000"/>
      <w:spacing w:val="0"/>
      <w:w w:val="100"/>
      <w:position w:val="0"/>
      <w:u w:val="single"/>
      <w:lang w:val="hy-AM" w:eastAsia="hy-AM" w:bidi="hy-AM"/>
    </w:rPr>
  </w:style>
  <w:style w:type="character" w:customStyle="1" w:styleId="Bodytext6">
    <w:name w:val="Body text (6)_"/>
    <w:basedOn w:val="DefaultParagraphFont"/>
    <w:link w:val="Bodytext60"/>
    <w:rsid w:val="00C15D0A"/>
    <w:rPr>
      <w:rFonts w:ascii="Times New Roman" w:eastAsia="Times New Roman" w:hAnsi="Times New Roman" w:cs="Times New Roman"/>
      <w:b/>
      <w:bCs/>
      <w:i/>
      <w:iCs/>
      <w:smallCaps w:val="0"/>
      <w:strike w:val="0"/>
      <w:sz w:val="22"/>
      <w:szCs w:val="22"/>
      <w:u w:val="none"/>
    </w:rPr>
  </w:style>
  <w:style w:type="character" w:customStyle="1" w:styleId="Bodytext61">
    <w:name w:val="Body text (6)"/>
    <w:basedOn w:val="Bodytext6"/>
    <w:rsid w:val="00C15D0A"/>
    <w:rPr>
      <w:color w:val="000000"/>
      <w:spacing w:val="0"/>
      <w:w w:val="100"/>
      <w:position w:val="0"/>
      <w:lang w:val="hy-AM" w:eastAsia="hy-AM" w:bidi="hy-AM"/>
    </w:rPr>
  </w:style>
  <w:style w:type="character" w:customStyle="1" w:styleId="Footnote">
    <w:name w:val="Footnote_"/>
    <w:basedOn w:val="DefaultParagraphFont"/>
    <w:link w:val="Footnote0"/>
    <w:rsid w:val="00C15D0A"/>
    <w:rPr>
      <w:rFonts w:ascii="Times New Roman" w:eastAsia="Times New Roman" w:hAnsi="Times New Roman" w:cs="Times New Roman"/>
      <w:b w:val="0"/>
      <w:bCs w:val="0"/>
      <w:i/>
      <w:iCs/>
      <w:smallCaps w:val="0"/>
      <w:strike w:val="0"/>
      <w:sz w:val="18"/>
      <w:szCs w:val="18"/>
      <w:u w:val="none"/>
    </w:rPr>
  </w:style>
  <w:style w:type="character" w:customStyle="1" w:styleId="Footnote1">
    <w:name w:val="Footnote"/>
    <w:basedOn w:val="Footnote"/>
    <w:rsid w:val="00C15D0A"/>
    <w:rPr>
      <w:color w:val="000000"/>
      <w:spacing w:val="0"/>
      <w:w w:val="100"/>
      <w:position w:val="0"/>
      <w:lang w:val="hy-AM" w:eastAsia="hy-AM" w:bidi="hy-AM"/>
    </w:rPr>
  </w:style>
  <w:style w:type="character" w:customStyle="1" w:styleId="Footnote2">
    <w:name w:val="Footnote"/>
    <w:basedOn w:val="Footnote"/>
    <w:rsid w:val="00C15D0A"/>
    <w:rPr>
      <w:color w:val="000000"/>
      <w:spacing w:val="0"/>
      <w:w w:val="100"/>
      <w:position w:val="0"/>
      <w:u w:val="single"/>
      <w:lang w:val="hy-AM" w:eastAsia="hy-AM" w:bidi="hy-AM"/>
    </w:rPr>
  </w:style>
  <w:style w:type="character" w:customStyle="1" w:styleId="FootnoteBold">
    <w:name w:val="Footnote + Bold"/>
    <w:aliases w:val="Not Italic"/>
    <w:basedOn w:val="Footnote"/>
    <w:rsid w:val="00C15D0A"/>
    <w:rPr>
      <w:b/>
      <w:bCs/>
      <w:i/>
      <w:iCs/>
      <w:color w:val="000000"/>
      <w:spacing w:val="0"/>
      <w:w w:val="100"/>
      <w:position w:val="0"/>
      <w:u w:val="single"/>
      <w:lang w:val="hy-AM" w:eastAsia="hy-AM" w:bidi="hy-AM"/>
    </w:rPr>
  </w:style>
  <w:style w:type="character" w:customStyle="1" w:styleId="Heading2Italic">
    <w:name w:val="Heading #2 + Italic"/>
    <w:basedOn w:val="Heading2"/>
    <w:rsid w:val="00C15D0A"/>
    <w:rPr>
      <w:i/>
      <w:iCs/>
      <w:color w:val="000000"/>
      <w:spacing w:val="0"/>
      <w:w w:val="100"/>
      <w:position w:val="0"/>
      <w:lang w:val="hy-AM" w:eastAsia="hy-AM" w:bidi="hy-AM"/>
    </w:rPr>
  </w:style>
  <w:style w:type="character" w:customStyle="1" w:styleId="Heading1">
    <w:name w:val="Heading #1_"/>
    <w:basedOn w:val="DefaultParagraphFont"/>
    <w:link w:val="Heading10"/>
    <w:rsid w:val="00C15D0A"/>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sid w:val="00C15D0A"/>
    <w:rPr>
      <w:color w:val="000000"/>
      <w:spacing w:val="0"/>
      <w:w w:val="100"/>
      <w:position w:val="0"/>
      <w:lang w:val="hy-AM" w:eastAsia="hy-AM" w:bidi="hy-AM"/>
    </w:rPr>
  </w:style>
  <w:style w:type="character" w:customStyle="1" w:styleId="Heading165pt">
    <w:name w:val="Heading #1 + 6.5 pt"/>
    <w:basedOn w:val="Heading1"/>
    <w:rsid w:val="00C15D0A"/>
    <w:rPr>
      <w:color w:val="000000"/>
      <w:spacing w:val="0"/>
      <w:w w:val="100"/>
      <w:position w:val="0"/>
      <w:sz w:val="13"/>
      <w:szCs w:val="13"/>
      <w:lang w:val="hy-AM" w:eastAsia="hy-AM" w:bidi="hy-AM"/>
    </w:rPr>
  </w:style>
  <w:style w:type="character" w:customStyle="1" w:styleId="Bodytext52">
    <w:name w:val="Body text (5)"/>
    <w:basedOn w:val="Bodytext5"/>
    <w:rsid w:val="00C15D0A"/>
    <w:rPr>
      <w:color w:val="000000"/>
      <w:spacing w:val="0"/>
      <w:w w:val="100"/>
      <w:position w:val="0"/>
      <w:lang w:val="hy-AM" w:eastAsia="hy-AM" w:bidi="hy-AM"/>
    </w:rPr>
  </w:style>
  <w:style w:type="character" w:customStyle="1" w:styleId="Bodytext311pt">
    <w:name w:val="Body text (3) + 11 pt"/>
    <w:aliases w:val="Not Bold"/>
    <w:basedOn w:val="Bodytext3"/>
    <w:rsid w:val="00C15D0A"/>
    <w:rPr>
      <w:b/>
      <w:bCs/>
      <w:color w:val="000000"/>
      <w:spacing w:val="0"/>
      <w:w w:val="100"/>
      <w:position w:val="0"/>
      <w:sz w:val="22"/>
      <w:szCs w:val="22"/>
      <w:lang w:val="hy-AM" w:eastAsia="hy-AM" w:bidi="hy-AM"/>
    </w:rPr>
  </w:style>
  <w:style w:type="character" w:customStyle="1" w:styleId="Bodytext3SmallCaps">
    <w:name w:val="Body text (3) + Small Caps"/>
    <w:basedOn w:val="Bodytext3"/>
    <w:rsid w:val="00C15D0A"/>
    <w:rPr>
      <w:smallCaps/>
      <w:color w:val="000000"/>
      <w:spacing w:val="0"/>
      <w:w w:val="100"/>
      <w:position w:val="0"/>
      <w:lang w:val="hy-AM" w:eastAsia="hy-AM" w:bidi="hy-AM"/>
    </w:rPr>
  </w:style>
  <w:style w:type="character" w:customStyle="1" w:styleId="Bodytext7">
    <w:name w:val="Body text (7)_"/>
    <w:basedOn w:val="DefaultParagraphFont"/>
    <w:link w:val="Bodytext70"/>
    <w:rsid w:val="00C15D0A"/>
    <w:rPr>
      <w:rFonts w:ascii="Times New Roman" w:eastAsia="Times New Roman" w:hAnsi="Times New Roman" w:cs="Times New Roman"/>
      <w:b w:val="0"/>
      <w:bCs w:val="0"/>
      <w:i w:val="0"/>
      <w:iCs w:val="0"/>
      <w:smallCaps w:val="0"/>
      <w:strike w:val="0"/>
      <w:sz w:val="18"/>
      <w:szCs w:val="18"/>
      <w:u w:val="none"/>
    </w:rPr>
  </w:style>
  <w:style w:type="character" w:customStyle="1" w:styleId="Bodytext71">
    <w:name w:val="Body text (7)"/>
    <w:basedOn w:val="Bodytext7"/>
    <w:rsid w:val="00C15D0A"/>
    <w:rPr>
      <w:color w:val="000000"/>
      <w:spacing w:val="0"/>
      <w:w w:val="100"/>
      <w:position w:val="0"/>
      <w:lang w:val="hy-AM" w:eastAsia="hy-AM" w:bidi="hy-AM"/>
    </w:rPr>
  </w:style>
  <w:style w:type="character" w:customStyle="1" w:styleId="Bodytext29pt0">
    <w:name w:val="Body text (2) + 9 pt"/>
    <w:aliases w:val="Bold,Italic"/>
    <w:basedOn w:val="Bodytext2"/>
    <w:rsid w:val="00C15D0A"/>
    <w:rPr>
      <w:b/>
      <w:bCs/>
      <w:i/>
      <w:iCs/>
      <w:color w:val="000000"/>
      <w:spacing w:val="0"/>
      <w:w w:val="100"/>
      <w:position w:val="0"/>
      <w:sz w:val="18"/>
      <w:szCs w:val="18"/>
      <w:lang w:val="hy-AM" w:eastAsia="hy-AM" w:bidi="hy-AM"/>
    </w:rPr>
  </w:style>
  <w:style w:type="character" w:customStyle="1" w:styleId="Bodytext29pt1">
    <w:name w:val="Body text (2) + 9 pt"/>
    <w:aliases w:val="Bold,Italic"/>
    <w:basedOn w:val="Bodytext2"/>
    <w:rsid w:val="00C15D0A"/>
    <w:rPr>
      <w:b/>
      <w:bCs/>
      <w:i/>
      <w:iCs/>
      <w:color w:val="000000"/>
      <w:spacing w:val="0"/>
      <w:w w:val="100"/>
      <w:position w:val="0"/>
      <w:sz w:val="18"/>
      <w:szCs w:val="18"/>
      <w:lang w:val="hy-AM" w:eastAsia="hy-AM" w:bidi="hy-AM"/>
    </w:rPr>
  </w:style>
  <w:style w:type="character" w:customStyle="1" w:styleId="Bodytext29pt2">
    <w:name w:val="Body text (2) + 9 pt"/>
    <w:aliases w:val="Italic"/>
    <w:basedOn w:val="Bodytext2"/>
    <w:rsid w:val="00C15D0A"/>
    <w:rPr>
      <w:i/>
      <w:iCs/>
      <w:color w:val="000000"/>
      <w:spacing w:val="0"/>
      <w:w w:val="100"/>
      <w:position w:val="0"/>
      <w:sz w:val="18"/>
      <w:szCs w:val="18"/>
      <w:lang w:val="hy-AM" w:eastAsia="hy-AM" w:bidi="hy-AM"/>
    </w:rPr>
  </w:style>
  <w:style w:type="character" w:customStyle="1" w:styleId="Bodytext29pt3">
    <w:name w:val="Body text (2) + 9 pt"/>
    <w:aliases w:val="Italic"/>
    <w:basedOn w:val="Bodytext2"/>
    <w:rsid w:val="00C15D0A"/>
    <w:rPr>
      <w:i/>
      <w:iCs/>
      <w:color w:val="000000"/>
      <w:spacing w:val="0"/>
      <w:w w:val="100"/>
      <w:position w:val="0"/>
      <w:sz w:val="18"/>
      <w:szCs w:val="18"/>
      <w:lang w:val="hy-AM" w:eastAsia="hy-AM" w:bidi="hy-AM"/>
    </w:rPr>
  </w:style>
  <w:style w:type="character" w:customStyle="1" w:styleId="Bodytext29pt4">
    <w:name w:val="Body text (2) + 9 pt"/>
    <w:aliases w:val="Italic"/>
    <w:basedOn w:val="Bodytext2"/>
    <w:rsid w:val="00C15D0A"/>
    <w:rPr>
      <w:i/>
      <w:iCs/>
      <w:color w:val="000000"/>
      <w:spacing w:val="0"/>
      <w:w w:val="100"/>
      <w:position w:val="0"/>
      <w:sz w:val="18"/>
      <w:szCs w:val="18"/>
      <w:lang w:val="hy-AM" w:eastAsia="hy-AM" w:bidi="hy-AM"/>
    </w:rPr>
  </w:style>
  <w:style w:type="character" w:customStyle="1" w:styleId="Bodytext29pt5">
    <w:name w:val="Body text (2) + 9 pt"/>
    <w:aliases w:val="Bold,Italic"/>
    <w:basedOn w:val="Bodytext2"/>
    <w:rsid w:val="00C15D0A"/>
    <w:rPr>
      <w:b/>
      <w:bCs/>
      <w:i/>
      <w:iCs/>
      <w:color w:val="000000"/>
      <w:spacing w:val="0"/>
      <w:w w:val="100"/>
      <w:position w:val="0"/>
      <w:sz w:val="18"/>
      <w:szCs w:val="18"/>
      <w:lang w:val="hy-AM" w:eastAsia="hy-AM" w:bidi="hy-AM"/>
    </w:rPr>
  </w:style>
  <w:style w:type="character" w:customStyle="1" w:styleId="Bodytext29pt6">
    <w:name w:val="Body text (2) + 9 pt"/>
    <w:aliases w:val="Bold,Italic"/>
    <w:basedOn w:val="Bodytext2"/>
    <w:rsid w:val="00C15D0A"/>
    <w:rPr>
      <w:b/>
      <w:bCs/>
      <w:i/>
      <w:iCs/>
      <w:color w:val="000000"/>
      <w:spacing w:val="0"/>
      <w:w w:val="100"/>
      <w:position w:val="0"/>
      <w:sz w:val="18"/>
      <w:szCs w:val="18"/>
      <w:lang w:val="hy-AM" w:eastAsia="hy-AM" w:bidi="hy-AM"/>
    </w:rPr>
  </w:style>
  <w:style w:type="character" w:customStyle="1" w:styleId="Bodytext29pt7">
    <w:name w:val="Body text (2) + 9 pt"/>
    <w:aliases w:val="Italic"/>
    <w:basedOn w:val="Bodytext2"/>
    <w:rsid w:val="00C15D0A"/>
    <w:rPr>
      <w:i/>
      <w:iCs/>
      <w:color w:val="000000"/>
      <w:spacing w:val="0"/>
      <w:w w:val="100"/>
      <w:position w:val="0"/>
      <w:sz w:val="18"/>
      <w:szCs w:val="18"/>
    </w:rPr>
  </w:style>
  <w:style w:type="character" w:customStyle="1" w:styleId="Bodytext29pt8">
    <w:name w:val="Body text (2) + 9 pt"/>
    <w:aliases w:val="Spacing -1 pt"/>
    <w:basedOn w:val="Bodytext2"/>
    <w:rsid w:val="00C15D0A"/>
    <w:rPr>
      <w:color w:val="000000"/>
      <w:spacing w:val="-30"/>
      <w:w w:val="100"/>
      <w:position w:val="0"/>
      <w:sz w:val="18"/>
      <w:szCs w:val="18"/>
      <w:lang w:val="hy-AM" w:eastAsia="hy-AM" w:bidi="hy-AM"/>
    </w:rPr>
  </w:style>
  <w:style w:type="character" w:customStyle="1" w:styleId="Bodytext29pt9">
    <w:name w:val="Body text (2) + 9 pt"/>
    <w:aliases w:val="Bold"/>
    <w:basedOn w:val="Bodytext2"/>
    <w:rsid w:val="00C15D0A"/>
    <w:rPr>
      <w:b/>
      <w:bCs/>
      <w:color w:val="000000"/>
      <w:spacing w:val="0"/>
      <w:w w:val="100"/>
      <w:position w:val="0"/>
      <w:sz w:val="18"/>
      <w:szCs w:val="18"/>
      <w:lang w:val="hy-AM" w:eastAsia="hy-AM" w:bidi="hy-AM"/>
    </w:rPr>
  </w:style>
  <w:style w:type="character" w:customStyle="1" w:styleId="Bodytext29pta">
    <w:name w:val="Body text (2) + 9 pt"/>
    <w:aliases w:val="Spacing -1 pt"/>
    <w:basedOn w:val="Bodytext2"/>
    <w:rsid w:val="00C15D0A"/>
    <w:rPr>
      <w:color w:val="000000"/>
      <w:spacing w:val="-30"/>
      <w:w w:val="100"/>
      <w:position w:val="0"/>
      <w:sz w:val="18"/>
      <w:szCs w:val="18"/>
      <w:lang w:val="hy-AM" w:eastAsia="hy-AM" w:bidi="hy-AM"/>
    </w:rPr>
  </w:style>
  <w:style w:type="character" w:customStyle="1" w:styleId="Bodytext29ptb">
    <w:name w:val="Body text (2) + 9 pt"/>
    <w:aliases w:val="Bold"/>
    <w:basedOn w:val="Bodytext2"/>
    <w:rsid w:val="00C15D0A"/>
    <w:rPr>
      <w:b/>
      <w:bCs/>
      <w:color w:val="000000"/>
      <w:spacing w:val="0"/>
      <w:w w:val="100"/>
      <w:position w:val="0"/>
      <w:sz w:val="18"/>
      <w:szCs w:val="18"/>
      <w:lang w:val="hy-AM" w:eastAsia="hy-AM" w:bidi="hy-AM"/>
    </w:rPr>
  </w:style>
  <w:style w:type="paragraph" w:customStyle="1" w:styleId="Bodytext30">
    <w:name w:val="Body text (3)"/>
    <w:basedOn w:val="Normal"/>
    <w:link w:val="Bodytext3"/>
    <w:rsid w:val="00C15D0A"/>
    <w:pPr>
      <w:shd w:val="clear" w:color="auto" w:fill="FFFFFF"/>
      <w:spacing w:after="240" w:line="0" w:lineRule="atLeast"/>
      <w:jc w:val="right"/>
    </w:pPr>
    <w:rPr>
      <w:rFonts w:ascii="Times New Roman" w:eastAsia="Times New Roman" w:hAnsi="Times New Roman" w:cs="Times New Roman"/>
      <w:b/>
      <w:bCs/>
      <w:sz w:val="15"/>
      <w:szCs w:val="15"/>
    </w:rPr>
  </w:style>
  <w:style w:type="paragraph" w:customStyle="1" w:styleId="Bodytext20">
    <w:name w:val="Body text (2)"/>
    <w:basedOn w:val="Normal"/>
    <w:link w:val="Bodytext2"/>
    <w:rsid w:val="00C15D0A"/>
    <w:pPr>
      <w:shd w:val="clear" w:color="auto" w:fill="FFFFFF"/>
      <w:spacing w:after="720" w:line="264" w:lineRule="exact"/>
      <w:ind w:hanging="540"/>
      <w:jc w:val="center"/>
    </w:pPr>
    <w:rPr>
      <w:rFonts w:ascii="Times New Roman" w:eastAsia="Times New Roman" w:hAnsi="Times New Roman" w:cs="Times New Roman"/>
      <w:sz w:val="22"/>
      <w:szCs w:val="22"/>
    </w:rPr>
  </w:style>
  <w:style w:type="paragraph" w:customStyle="1" w:styleId="Heading20">
    <w:name w:val="Heading #2"/>
    <w:basedOn w:val="Normal"/>
    <w:link w:val="Heading2"/>
    <w:rsid w:val="00C15D0A"/>
    <w:pPr>
      <w:shd w:val="clear" w:color="auto" w:fill="FFFFFF"/>
      <w:spacing w:before="480" w:after="240" w:line="0" w:lineRule="atLeast"/>
      <w:jc w:val="both"/>
      <w:outlineLvl w:val="1"/>
    </w:pPr>
    <w:rPr>
      <w:rFonts w:ascii="Times New Roman" w:eastAsia="Times New Roman" w:hAnsi="Times New Roman" w:cs="Times New Roman"/>
      <w:b/>
      <w:bCs/>
      <w:sz w:val="22"/>
      <w:szCs w:val="22"/>
    </w:rPr>
  </w:style>
  <w:style w:type="paragraph" w:customStyle="1" w:styleId="Bodytext40">
    <w:name w:val="Body text (4)"/>
    <w:basedOn w:val="Normal"/>
    <w:link w:val="Bodytext4"/>
    <w:rsid w:val="00C15D0A"/>
    <w:pPr>
      <w:shd w:val="clear" w:color="auto" w:fill="FFFFFF"/>
      <w:spacing w:line="274"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C15D0A"/>
    <w:pPr>
      <w:shd w:val="clear" w:color="auto" w:fill="FFFFFF"/>
      <w:spacing w:before="240" w:after="300" w:line="0" w:lineRule="atLeast"/>
      <w:jc w:val="both"/>
    </w:pPr>
    <w:rPr>
      <w:rFonts w:ascii="Times New Roman" w:eastAsia="Times New Roman" w:hAnsi="Times New Roman" w:cs="Times New Roman"/>
      <w:b/>
      <w:bCs/>
      <w:sz w:val="22"/>
      <w:szCs w:val="22"/>
    </w:rPr>
  </w:style>
  <w:style w:type="paragraph" w:customStyle="1" w:styleId="Bodytext60">
    <w:name w:val="Body text (6)"/>
    <w:basedOn w:val="Normal"/>
    <w:link w:val="Bodytext6"/>
    <w:rsid w:val="00C15D0A"/>
    <w:pPr>
      <w:shd w:val="clear" w:color="auto" w:fill="FFFFFF"/>
      <w:spacing w:before="300" w:after="60" w:line="0" w:lineRule="atLeast"/>
      <w:jc w:val="both"/>
    </w:pPr>
    <w:rPr>
      <w:rFonts w:ascii="Times New Roman" w:eastAsia="Times New Roman" w:hAnsi="Times New Roman" w:cs="Times New Roman"/>
      <w:b/>
      <w:bCs/>
      <w:i/>
      <w:iCs/>
      <w:sz w:val="22"/>
      <w:szCs w:val="22"/>
    </w:rPr>
  </w:style>
  <w:style w:type="paragraph" w:customStyle="1" w:styleId="Footnote0">
    <w:name w:val="Footnote"/>
    <w:basedOn w:val="Normal"/>
    <w:link w:val="Footnote"/>
    <w:rsid w:val="00C15D0A"/>
    <w:pPr>
      <w:shd w:val="clear" w:color="auto" w:fill="FFFFFF"/>
      <w:spacing w:line="0" w:lineRule="atLeast"/>
      <w:jc w:val="both"/>
    </w:pPr>
    <w:rPr>
      <w:rFonts w:ascii="Times New Roman" w:eastAsia="Times New Roman" w:hAnsi="Times New Roman" w:cs="Times New Roman"/>
      <w:i/>
      <w:iCs/>
      <w:sz w:val="18"/>
      <w:szCs w:val="18"/>
    </w:rPr>
  </w:style>
  <w:style w:type="paragraph" w:customStyle="1" w:styleId="Heading10">
    <w:name w:val="Heading #1"/>
    <w:basedOn w:val="Normal"/>
    <w:link w:val="Heading1"/>
    <w:rsid w:val="00C15D0A"/>
    <w:pPr>
      <w:shd w:val="clear" w:color="auto" w:fill="FFFFFF"/>
      <w:spacing w:after="240" w:line="250" w:lineRule="exact"/>
      <w:jc w:val="both"/>
      <w:outlineLvl w:val="0"/>
    </w:pPr>
    <w:rPr>
      <w:rFonts w:ascii="Times New Roman" w:eastAsia="Times New Roman" w:hAnsi="Times New Roman" w:cs="Times New Roman"/>
      <w:b/>
      <w:bCs/>
      <w:sz w:val="22"/>
      <w:szCs w:val="22"/>
    </w:rPr>
  </w:style>
  <w:style w:type="paragraph" w:customStyle="1" w:styleId="Bodytext70">
    <w:name w:val="Body text (7)"/>
    <w:basedOn w:val="Normal"/>
    <w:link w:val="Bodytext7"/>
    <w:rsid w:val="00C15D0A"/>
    <w:pPr>
      <w:shd w:val="clear" w:color="auto" w:fill="FFFFFF"/>
      <w:spacing w:before="240" w:after="420" w:line="216" w:lineRule="exact"/>
      <w:jc w:val="both"/>
    </w:pPr>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1A58C9"/>
    <w:rPr>
      <w:sz w:val="20"/>
      <w:szCs w:val="20"/>
    </w:rPr>
  </w:style>
  <w:style w:type="character" w:customStyle="1" w:styleId="FootnoteTextChar">
    <w:name w:val="Footnote Text Char"/>
    <w:basedOn w:val="DefaultParagraphFont"/>
    <w:link w:val="FootnoteText"/>
    <w:uiPriority w:val="99"/>
    <w:semiHidden/>
    <w:rsid w:val="001A58C9"/>
    <w:rPr>
      <w:color w:val="000000"/>
      <w:sz w:val="20"/>
      <w:szCs w:val="20"/>
    </w:rPr>
  </w:style>
  <w:style w:type="character" w:styleId="FootnoteReference">
    <w:name w:val="footnote reference"/>
    <w:basedOn w:val="DefaultParagraphFont"/>
    <w:uiPriority w:val="99"/>
    <w:semiHidden/>
    <w:unhideWhenUsed/>
    <w:rsid w:val="001A58C9"/>
    <w:rPr>
      <w:vertAlign w:val="superscript"/>
    </w:rPr>
  </w:style>
  <w:style w:type="paragraph" w:styleId="BalloonText">
    <w:name w:val="Balloon Text"/>
    <w:basedOn w:val="Normal"/>
    <w:link w:val="BalloonTextChar"/>
    <w:uiPriority w:val="99"/>
    <w:semiHidden/>
    <w:unhideWhenUsed/>
    <w:rsid w:val="00822F94"/>
    <w:rPr>
      <w:rFonts w:ascii="Tahoma" w:hAnsi="Tahoma" w:cs="Tahoma"/>
      <w:sz w:val="16"/>
      <w:szCs w:val="16"/>
    </w:rPr>
  </w:style>
  <w:style w:type="character" w:customStyle="1" w:styleId="BalloonTextChar">
    <w:name w:val="Balloon Text Char"/>
    <w:basedOn w:val="DefaultParagraphFont"/>
    <w:link w:val="BalloonText"/>
    <w:uiPriority w:val="99"/>
    <w:semiHidden/>
    <w:rsid w:val="00822F94"/>
    <w:rPr>
      <w:rFonts w:ascii="Tahoma" w:hAnsi="Tahoma" w:cs="Tahoma"/>
      <w:color w:val="000000"/>
      <w:sz w:val="16"/>
      <w:szCs w:val="16"/>
    </w:rPr>
  </w:style>
  <w:style w:type="table" w:styleId="TableGrid">
    <w:name w:val="Table Grid"/>
    <w:basedOn w:val="TableNormal"/>
    <w:uiPriority w:val="59"/>
    <w:rsid w:val="00A35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7011"/>
    <w:pPr>
      <w:tabs>
        <w:tab w:val="center" w:pos="4680"/>
        <w:tab w:val="right" w:pos="9360"/>
      </w:tabs>
    </w:pPr>
  </w:style>
  <w:style w:type="character" w:customStyle="1" w:styleId="HeaderChar">
    <w:name w:val="Header Char"/>
    <w:basedOn w:val="DefaultParagraphFont"/>
    <w:link w:val="Header"/>
    <w:uiPriority w:val="99"/>
    <w:semiHidden/>
    <w:rsid w:val="003F7011"/>
    <w:rPr>
      <w:color w:val="000000"/>
    </w:rPr>
  </w:style>
  <w:style w:type="paragraph" w:styleId="Footer">
    <w:name w:val="footer"/>
    <w:basedOn w:val="Normal"/>
    <w:link w:val="FooterChar"/>
    <w:uiPriority w:val="99"/>
    <w:unhideWhenUsed/>
    <w:rsid w:val="003F7011"/>
    <w:pPr>
      <w:tabs>
        <w:tab w:val="center" w:pos="4680"/>
        <w:tab w:val="right" w:pos="9360"/>
      </w:tabs>
    </w:pPr>
  </w:style>
  <w:style w:type="character" w:customStyle="1" w:styleId="FooterChar">
    <w:name w:val="Footer Char"/>
    <w:basedOn w:val="DefaultParagraphFont"/>
    <w:link w:val="Footer"/>
    <w:uiPriority w:val="99"/>
    <w:rsid w:val="003F7011"/>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35</Pages>
  <Words>6916</Words>
  <Characters>39423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https://mul.gov.am/tasks/docs/attachment.php?id=491364&amp;fn=4.TAPs_ARM.docx&amp;out=1&amp;token=1a7c28aef0284d7f8a87</cp:keywords>
</cp:coreProperties>
</file>