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6B" w:rsidRPr="00216F8C" w:rsidRDefault="0011196B" w:rsidP="00216F8C">
      <w:pPr>
        <w:widowControl w:val="0"/>
        <w:spacing w:after="160" w:line="348" w:lineRule="auto"/>
        <w:jc w:val="center"/>
        <w:rPr>
          <w:rFonts w:ascii="GHEA Grapalat" w:hAnsi="GHEA Grapalat"/>
          <w:b/>
          <w:snapToGrid w:val="0"/>
          <w:sz w:val="24"/>
          <w:szCs w:val="24"/>
          <w:lang w:val="en-US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ՖԻՆԱՆՍԱՎՈՐՄԱՆ ՀԱՄԱՁԱՅՆԱԳԻՐ</w:t>
      </w:r>
    </w:p>
    <w:p w:rsidR="00216F8C" w:rsidRPr="00216F8C" w:rsidRDefault="00216F8C" w:rsidP="00216F8C">
      <w:pPr>
        <w:widowControl w:val="0"/>
        <w:spacing w:after="160" w:line="348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  <w:lang w:val="en-US"/>
        </w:rPr>
      </w:pPr>
    </w:p>
    <w:p w:rsidR="0011196B" w:rsidRPr="00216F8C" w:rsidRDefault="0011196B" w:rsidP="00216F8C">
      <w:pPr>
        <w:widowControl w:val="0"/>
        <w:spacing w:after="160" w:line="348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ՀԱՏՈՒԿ ՊԱՅՄԱՆՆԵՐ</w:t>
      </w:r>
    </w:p>
    <w:p w:rsidR="0011196B" w:rsidRPr="00216F8C" w:rsidRDefault="0011196B" w:rsidP="00216F8C">
      <w:pPr>
        <w:widowControl w:val="0"/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9340C0" w:rsidRDefault="0011196B" w:rsidP="00216F8C">
      <w:pPr>
        <w:widowControl w:val="0"/>
        <w:spacing w:after="160" w:line="348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Եվրոպական հանձնաժողովը, </w:t>
      </w:r>
      <w:r w:rsidRPr="00216F8C">
        <w:rPr>
          <w:rFonts w:ascii="GHEA Grapalat" w:hAnsi="GHEA Grapalat"/>
          <w:b/>
          <w:snapToGrid w:val="0"/>
          <w:sz w:val="24"/>
          <w:szCs w:val="24"/>
        </w:rPr>
        <w:t>այսուհետ` Հանձնաժողով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, </w:t>
      </w:r>
      <w:r w:rsidR="00101812" w:rsidRPr="00216F8C">
        <w:rPr>
          <w:rFonts w:ascii="GHEA Grapalat" w:hAnsi="GHEA Grapalat"/>
          <w:snapToGrid w:val="0"/>
          <w:sz w:val="24"/>
          <w:szCs w:val="24"/>
        </w:rPr>
        <w:t>գործելով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Եվրոպական </w:t>
      </w:r>
      <w:r w:rsidR="00813548" w:rsidRPr="00216F8C">
        <w:rPr>
          <w:rFonts w:ascii="GHEA Grapalat" w:hAnsi="GHEA Grapalat"/>
          <w:snapToGrid w:val="0"/>
          <w:sz w:val="24"/>
          <w:szCs w:val="24"/>
        </w:rPr>
        <w:t>մ</w:t>
      </w:r>
      <w:r w:rsidRPr="00216F8C">
        <w:rPr>
          <w:rFonts w:ascii="GHEA Grapalat" w:hAnsi="GHEA Grapalat"/>
          <w:snapToGrid w:val="0"/>
          <w:sz w:val="24"/>
          <w:szCs w:val="24"/>
        </w:rPr>
        <w:t>իության</w:t>
      </w:r>
      <w:r w:rsidR="00724052" w:rsidRPr="00216F8C">
        <w:rPr>
          <w:rFonts w:ascii="GHEA Grapalat" w:hAnsi="GHEA Grapalat"/>
          <w:snapToGrid w:val="0"/>
          <w:sz w:val="24"/>
          <w:szCs w:val="24"/>
        </w:rPr>
        <w:t xml:space="preserve"> անունից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, այսուհետ` </w:t>
      </w:r>
      <w:r w:rsidRPr="00216F8C">
        <w:rPr>
          <w:rFonts w:ascii="GHEA Grapalat" w:hAnsi="GHEA Grapalat"/>
          <w:b/>
          <w:snapToGrid w:val="0"/>
          <w:sz w:val="24"/>
          <w:szCs w:val="24"/>
        </w:rPr>
        <w:t>ԵՄ</w:t>
      </w:r>
      <w:r w:rsidRPr="00216F8C">
        <w:rPr>
          <w:rFonts w:ascii="GHEA Grapalat" w:hAnsi="GHEA Grapalat"/>
          <w:snapToGrid w:val="0"/>
          <w:sz w:val="24"/>
          <w:szCs w:val="24"/>
        </w:rPr>
        <w:t>,</w:t>
      </w:r>
    </w:p>
    <w:p w:rsidR="0011196B" w:rsidRPr="00216F8C" w:rsidRDefault="0011196B" w:rsidP="00216F8C">
      <w:pPr>
        <w:widowControl w:val="0"/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մի կողմից, 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</w:p>
    <w:p w:rsidR="009340C0" w:rsidRDefault="00A972CA" w:rsidP="00216F8C">
      <w:pPr>
        <w:widowControl w:val="0"/>
        <w:spacing w:after="160" w:line="348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Հայաստանի Հանրապետության կառավարությունը,</w:t>
      </w:r>
      <w:r w:rsidRPr="00216F8C">
        <w:rPr>
          <w:rFonts w:ascii="GHEA Grapalat" w:hAnsi="GHEA Grapalat"/>
          <w:b/>
          <w:snapToGrid w:val="0"/>
          <w:sz w:val="24"/>
          <w:szCs w:val="24"/>
        </w:rPr>
        <w:t xml:space="preserve"> այսուհետ՝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</w:t>
      </w:r>
      <w:r w:rsidRPr="00216F8C">
        <w:rPr>
          <w:rFonts w:ascii="GHEA Grapalat" w:hAnsi="GHEA Grapalat"/>
          <w:b/>
          <w:snapToGrid w:val="0"/>
          <w:sz w:val="24"/>
          <w:szCs w:val="24"/>
        </w:rPr>
        <w:t>Գործընկեր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, ի դեմս Տնտեսական զարգացման 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ներդրումների նախարարության,</w:t>
      </w:r>
    </w:p>
    <w:p w:rsidR="00A972CA" w:rsidRPr="00216F8C" w:rsidRDefault="00A972CA" w:rsidP="00216F8C">
      <w:pPr>
        <w:widowControl w:val="0"/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z w:val="24"/>
          <w:szCs w:val="24"/>
        </w:rPr>
        <w:t>մյուս կողմից,</w:t>
      </w:r>
    </w:p>
    <w:p w:rsidR="0011196B" w:rsidRPr="00216F8C" w:rsidRDefault="0011196B" w:rsidP="00216F8C">
      <w:pPr>
        <w:widowControl w:val="0"/>
        <w:spacing w:after="160" w:line="348" w:lineRule="auto"/>
        <w:ind w:firstLine="567"/>
        <w:jc w:val="both"/>
        <w:outlineLvl w:val="0"/>
        <w:rPr>
          <w:rFonts w:ascii="GHEA Grapalat" w:hAnsi="GHEA Grapalat"/>
          <w:snapToGrid w:val="0"/>
          <w:sz w:val="24"/>
          <w:szCs w:val="24"/>
          <w:lang w:val="en-US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համաձայնեցին հետ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յալի վերաբերյալ.</w:t>
      </w:r>
    </w:p>
    <w:p w:rsidR="00216F8C" w:rsidRPr="00216F8C" w:rsidRDefault="00216F8C" w:rsidP="00216F8C">
      <w:pPr>
        <w:widowControl w:val="0"/>
        <w:spacing w:after="160" w:line="348" w:lineRule="auto"/>
        <w:ind w:firstLine="567"/>
        <w:jc w:val="both"/>
        <w:outlineLvl w:val="0"/>
        <w:rPr>
          <w:rFonts w:ascii="GHEA Grapalat" w:eastAsia="Times New Roman" w:hAnsi="GHEA Grapalat"/>
          <w:b/>
          <w:snapToGrid w:val="0"/>
          <w:sz w:val="24"/>
          <w:szCs w:val="24"/>
          <w:lang w:val="en-US"/>
        </w:rPr>
      </w:pPr>
    </w:p>
    <w:p w:rsidR="009340C0" w:rsidRDefault="0011196B" w:rsidP="00216F8C">
      <w:pPr>
        <w:widowControl w:val="0"/>
        <w:spacing w:after="160" w:line="348" w:lineRule="auto"/>
        <w:ind w:firstLine="567"/>
        <w:jc w:val="both"/>
        <w:rPr>
          <w:rFonts w:ascii="GHEA Grapalat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Հոդված 1. Գործողության բնույթը</w:t>
      </w:r>
    </w:p>
    <w:p w:rsidR="001573F0" w:rsidRPr="00216F8C" w:rsidRDefault="001573F0" w:rsidP="00216F8C">
      <w:pPr>
        <w:widowControl w:val="0"/>
        <w:tabs>
          <w:tab w:val="left" w:pos="1134"/>
        </w:tabs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1.1.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ԵՄ-ն համաձայնում է ֆինանսավորել, իսկ Գործընկերը համաձայնում է ընդունել այդ ֆինանսավորումը՝ հետեւյալ գործողության մասով՝</w:t>
      </w:r>
    </w:p>
    <w:p w:rsidR="001573F0" w:rsidRPr="009340C0" w:rsidRDefault="001573F0" w:rsidP="00216F8C">
      <w:pPr>
        <w:widowControl w:val="0"/>
        <w:spacing w:after="160" w:line="348" w:lineRule="auto"/>
        <w:ind w:firstLine="567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9340C0">
        <w:rPr>
          <w:rFonts w:ascii="GHEA Grapalat" w:hAnsi="GHEA Grapalat"/>
          <w:b/>
          <w:snapToGrid w:val="0"/>
          <w:sz w:val="24"/>
          <w:szCs w:val="24"/>
        </w:rPr>
        <w:t>Հայաստանում «ԵՄ-</w:t>
      </w:r>
      <w:r w:rsidR="002E0DFE" w:rsidRPr="009340C0">
        <w:rPr>
          <w:rFonts w:ascii="GHEA Grapalat" w:hAnsi="GHEA Grapalat"/>
          <w:b/>
          <w:snapToGrid w:val="0"/>
          <w:sz w:val="24"/>
          <w:szCs w:val="24"/>
        </w:rPr>
        <w:t>ն</w:t>
      </w:r>
      <w:r w:rsidRPr="009340C0">
        <w:rPr>
          <w:rFonts w:ascii="GHEA Grapalat" w:hAnsi="GHEA Grapalat"/>
          <w:b/>
          <w:snapToGrid w:val="0"/>
          <w:sz w:val="24"/>
          <w:szCs w:val="24"/>
        </w:rPr>
        <w:t xml:space="preserve"> նորա</w:t>
      </w:r>
      <w:r w:rsidR="009340C0">
        <w:rPr>
          <w:rFonts w:ascii="GHEA Grapalat" w:hAnsi="GHEA Grapalat"/>
          <w:b/>
          <w:snapToGrid w:val="0"/>
          <w:sz w:val="24"/>
          <w:szCs w:val="24"/>
        </w:rPr>
        <w:t>րա</w:t>
      </w:r>
      <w:r w:rsidRPr="009340C0">
        <w:rPr>
          <w:rFonts w:ascii="GHEA Grapalat" w:hAnsi="GHEA Grapalat"/>
          <w:b/>
          <w:snapToGrid w:val="0"/>
          <w:sz w:val="24"/>
          <w:szCs w:val="24"/>
        </w:rPr>
        <w:t xml:space="preserve">րության համար» նախաձեռնություն. Կրթության բարելավում՝ հատկապես գիտության, տեխնոլոգիայի, </w:t>
      </w:r>
      <w:r w:rsidR="00671ADA" w:rsidRPr="009340C0">
        <w:rPr>
          <w:rFonts w:ascii="GHEA Grapalat" w:hAnsi="GHEA Grapalat"/>
          <w:b/>
          <w:snapToGrid w:val="0"/>
          <w:sz w:val="24"/>
          <w:szCs w:val="24"/>
        </w:rPr>
        <w:t xml:space="preserve">ինժեներիայի </w:t>
      </w:r>
      <w:r w:rsidR="002221F0" w:rsidRPr="009340C0">
        <w:rPr>
          <w:rFonts w:ascii="GHEA Grapalat" w:hAnsi="GHEA Grapalat"/>
          <w:b/>
          <w:snapToGrid w:val="0"/>
          <w:sz w:val="24"/>
          <w:szCs w:val="24"/>
        </w:rPr>
        <w:t>եւ</w:t>
      </w:r>
      <w:r w:rsidRPr="009340C0">
        <w:rPr>
          <w:rFonts w:ascii="GHEA Grapalat" w:hAnsi="GHEA Grapalat"/>
          <w:b/>
          <w:snapToGrid w:val="0"/>
          <w:sz w:val="24"/>
          <w:szCs w:val="24"/>
        </w:rPr>
        <w:t xml:space="preserve"> մաթեմատիկայի ոլորտներում, ԵՀԳ/2017/040-530</w:t>
      </w:r>
    </w:p>
    <w:p w:rsidR="001573F0" w:rsidRPr="00216F8C" w:rsidRDefault="001573F0" w:rsidP="00216F8C">
      <w:pPr>
        <w:widowControl w:val="0"/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Սույն գործողությունը ֆինանսավորվում է ԵՄ բյուջեից՝ հիմնական ակտ հանդիսացող Եվրոպական հարեւանության գործիքին համապատասխան։</w:t>
      </w:r>
    </w:p>
    <w:p w:rsidR="001573F0" w:rsidRPr="00216F8C" w:rsidRDefault="001573F0" w:rsidP="00216F8C">
      <w:pPr>
        <w:widowControl w:val="0"/>
        <w:tabs>
          <w:tab w:val="left" w:pos="1134"/>
        </w:tabs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1.2.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Սույն գործողության գնահատված ընդհանուր արժեքը կազմում </w:t>
      </w:r>
      <w:r w:rsidR="00072F44" w:rsidRPr="00216F8C">
        <w:rPr>
          <w:rFonts w:ascii="GHEA Grapalat" w:hAnsi="GHEA Grapalat"/>
          <w:snapToGrid w:val="0"/>
          <w:sz w:val="24"/>
          <w:szCs w:val="24"/>
        </w:rPr>
        <w:t xml:space="preserve">է </w:t>
      </w:r>
      <w:r w:rsidRPr="00216F8C">
        <w:rPr>
          <w:rFonts w:ascii="GHEA Grapalat" w:hAnsi="GHEA Grapalat"/>
          <w:snapToGrid w:val="0"/>
          <w:sz w:val="24"/>
          <w:szCs w:val="24"/>
        </w:rPr>
        <w:t>26</w:t>
      </w:r>
      <w:r w:rsidR="00216F8C" w:rsidRPr="00216F8C">
        <w:rPr>
          <w:rFonts w:ascii="Courier New" w:hAnsi="Courier New" w:cs="Courier New"/>
          <w:snapToGrid w:val="0"/>
          <w:sz w:val="24"/>
          <w:szCs w:val="24"/>
        </w:rPr>
        <w:t> </w:t>
      </w:r>
      <w:r w:rsidRPr="00216F8C">
        <w:rPr>
          <w:rFonts w:ascii="GHEA Grapalat" w:hAnsi="GHEA Grapalat"/>
          <w:snapToGrid w:val="0"/>
          <w:sz w:val="24"/>
          <w:szCs w:val="24"/>
        </w:rPr>
        <w:t>125</w:t>
      </w:r>
      <w:r w:rsidR="00216F8C" w:rsidRPr="00216F8C">
        <w:rPr>
          <w:rFonts w:ascii="Courier New" w:hAnsi="Courier New" w:cs="Courier New"/>
          <w:snapToGrid w:val="0"/>
          <w:sz w:val="24"/>
          <w:szCs w:val="24"/>
        </w:rPr>
        <w:t> </w:t>
      </w:r>
      <w:r w:rsidRPr="00216F8C">
        <w:rPr>
          <w:rFonts w:ascii="GHEA Grapalat" w:hAnsi="GHEA Grapalat"/>
          <w:snapToGrid w:val="0"/>
          <w:sz w:val="24"/>
          <w:szCs w:val="24"/>
        </w:rPr>
        <w:t>000 եվրո, իսկ սույն գործողության մասով ԵՄ օժանդակության առավելագույն չափը 23</w:t>
      </w:r>
      <w:r w:rsidR="00216F8C" w:rsidRPr="00216F8C">
        <w:rPr>
          <w:rFonts w:ascii="Courier New" w:hAnsi="Courier New" w:cs="Courier New"/>
          <w:snapToGrid w:val="0"/>
          <w:sz w:val="24"/>
          <w:szCs w:val="24"/>
        </w:rPr>
        <w:t> </w:t>
      </w:r>
      <w:r w:rsidRPr="00216F8C">
        <w:rPr>
          <w:rFonts w:ascii="GHEA Grapalat" w:hAnsi="GHEA Grapalat"/>
          <w:snapToGrid w:val="0"/>
          <w:sz w:val="24"/>
          <w:szCs w:val="24"/>
        </w:rPr>
        <w:t>000</w:t>
      </w:r>
      <w:r w:rsidR="00216F8C" w:rsidRPr="00216F8C">
        <w:rPr>
          <w:rFonts w:ascii="Courier New" w:hAnsi="Courier New" w:cs="Courier New"/>
          <w:snapToGrid w:val="0"/>
          <w:sz w:val="24"/>
          <w:szCs w:val="24"/>
        </w:rPr>
        <w:t> </w:t>
      </w:r>
      <w:r w:rsidRPr="00216F8C">
        <w:rPr>
          <w:rFonts w:ascii="GHEA Grapalat" w:hAnsi="GHEA Grapalat"/>
          <w:snapToGrid w:val="0"/>
          <w:sz w:val="24"/>
          <w:szCs w:val="24"/>
        </w:rPr>
        <w:t>000 եվրո է։</w:t>
      </w:r>
    </w:p>
    <w:p w:rsidR="006F341E" w:rsidRPr="00216F8C" w:rsidRDefault="001573F0" w:rsidP="00216F8C">
      <w:pPr>
        <w:widowControl w:val="0"/>
        <w:tabs>
          <w:tab w:val="left" w:pos="1134"/>
        </w:tabs>
        <w:spacing w:after="160" w:line="348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1.3.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Գործընկերը չի համաֆինանսավորում գործողությունը։ Գործողությունը համաֆինանսավորվում է ծրագրի համաֆինանսավորման շրջանակներում</w:t>
      </w:r>
      <w:r w:rsidR="0041422D" w:rsidRPr="00216F8C">
        <w:rPr>
          <w:rFonts w:ascii="GHEA Grapalat" w:hAnsi="GHEA Grapalat"/>
          <w:snapToGrid w:val="0"/>
          <w:sz w:val="24"/>
          <w:szCs w:val="24"/>
        </w:rPr>
        <w:t>՝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</w:t>
      </w:r>
      <w:r w:rsidRPr="00216F8C">
        <w:rPr>
          <w:rFonts w:ascii="GHEA Grapalat" w:hAnsi="GHEA Grapalat"/>
          <w:snapToGrid w:val="0"/>
          <w:sz w:val="24"/>
          <w:szCs w:val="24"/>
        </w:rPr>
        <w:lastRenderedPageBreak/>
        <w:t xml:space="preserve">«Սիմոնյան կրթական հիմնադրամ»-ի (ԹՈՒՄՈ) կողմից։ Այս ֆինանսական օժանդակության բացվածքը ներկայացված է I հավելվածում (Տեխնիկական 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վարչական դրույթներ)։</w:t>
      </w:r>
    </w:p>
    <w:p w:rsidR="001573F0" w:rsidRPr="00216F8C" w:rsidRDefault="001573F0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11196B" w:rsidRPr="00216F8C" w:rsidRDefault="0011196B" w:rsidP="00216F8C">
      <w:pPr>
        <w:widowControl w:val="0"/>
        <w:spacing w:after="160" w:line="360" w:lineRule="auto"/>
        <w:ind w:firstLine="567"/>
        <w:jc w:val="both"/>
        <w:outlineLvl w:val="0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Հոդված 2. Կատարման ժամկետը</w:t>
      </w:r>
    </w:p>
    <w:p w:rsidR="001573F0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outlineLvl w:val="0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2.1.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Սույն Ֆինանսավորման համաձայնագրի՝ II հավելվածի (Ընդհանուր պայմաններ) 15-րդ հոդվածով սահմանված կատարման ժամկետն սկսվում է սույն Ֆինանսավորման համաձայնագիրն ուժի մեջ մտնելու պահից եւ ավարտվում այդ օրվանից 84 ամիս անց:</w:t>
      </w:r>
    </w:p>
    <w:p w:rsidR="001573F0" w:rsidRPr="00216F8C" w:rsidRDefault="001573F0" w:rsidP="009340C0">
      <w:pPr>
        <w:widowControl w:val="0"/>
        <w:tabs>
          <w:tab w:val="left" w:pos="1134"/>
        </w:tabs>
        <w:spacing w:after="160" w:line="360" w:lineRule="auto"/>
        <w:ind w:firstLine="567"/>
        <w:jc w:val="both"/>
        <w:outlineLvl w:val="0"/>
        <w:rPr>
          <w:rFonts w:ascii="GHEA Grapalat" w:hAnsi="GHEA Grapalat"/>
          <w:b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2.2.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Իրականացման փուլի տ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ողությունը 60 ամիս է:</w:t>
      </w:r>
    </w:p>
    <w:p w:rsidR="0011196B" w:rsidRPr="00216F8C" w:rsidRDefault="001573F0" w:rsidP="009340C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2.3.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Ավարտական փուլի տ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ողությունը 24 ամիս է:</w:t>
      </w:r>
    </w:p>
    <w:p w:rsidR="00216F8C" w:rsidRDefault="00216F8C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napToGrid w:val="0"/>
          <w:sz w:val="24"/>
          <w:szCs w:val="24"/>
          <w:lang w:val="en-US"/>
        </w:rPr>
      </w:pPr>
    </w:p>
    <w:p w:rsidR="0011196B" w:rsidRPr="00216F8C" w:rsidRDefault="00216F8C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 xml:space="preserve">Հոդված </w:t>
      </w:r>
      <w:r w:rsidR="0011196B" w:rsidRPr="00216F8C">
        <w:rPr>
          <w:rFonts w:ascii="GHEA Grapalat" w:hAnsi="GHEA Grapalat"/>
          <w:b/>
          <w:snapToGrid w:val="0"/>
          <w:sz w:val="24"/>
          <w:szCs w:val="24"/>
        </w:rPr>
        <w:t>3. Հասցեները</w:t>
      </w:r>
    </w:p>
    <w:p w:rsidR="0011196B" w:rsidRPr="00216F8C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Ֆինանսավորման համաձայնագրի իրականացմանը վերաբերող բոլոր հաղորդումները կազմվում են գրավոր, պարունակում են հստակ հղում սույն Հատուկ պայմանների 1.1 հոդվածով սահմանված այս գործողությանը եւ ուղարկվում են հետեւյալ հասցեներով՝</w:t>
      </w:r>
    </w:p>
    <w:p w:rsidR="0011196B" w:rsidRPr="00216F8C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786C33" w:rsidRPr="00216F8C" w:rsidRDefault="00CF4ED0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ա)</w:t>
      </w:r>
      <w:r w:rsidR="00216F8C">
        <w:rPr>
          <w:rFonts w:ascii="GHEA Grapalat" w:hAnsi="GHEA Grapalat"/>
          <w:b/>
          <w:snapToGrid w:val="0"/>
          <w:sz w:val="24"/>
          <w:szCs w:val="24"/>
          <w:lang w:val="en-US"/>
        </w:rPr>
        <w:tab/>
      </w:r>
      <w:r w:rsidR="00786C33" w:rsidRPr="00216F8C">
        <w:rPr>
          <w:rFonts w:ascii="GHEA Grapalat" w:hAnsi="GHEA Grapalat"/>
          <w:b/>
          <w:snapToGrid w:val="0"/>
          <w:sz w:val="24"/>
          <w:szCs w:val="24"/>
        </w:rPr>
        <w:t>Հանձնաժողովի դեպքում՝</w:t>
      </w:r>
    </w:p>
    <w:p w:rsidR="005068C3" w:rsidRPr="00216F8C" w:rsidRDefault="005068C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Պատվիրակության ղեկավար</w:t>
      </w:r>
    </w:p>
    <w:p w:rsidR="00786C33" w:rsidRPr="00216F8C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Հայաստանում Եվրոպական միության պատվիրակություն</w:t>
      </w:r>
    </w:p>
    <w:p w:rsidR="009340C0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Ֆրիկի 21,</w:t>
      </w:r>
    </w:p>
    <w:p w:rsidR="00786C33" w:rsidRPr="00216F8C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0002 ք. Եր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ան, Հայաստան</w:t>
      </w:r>
    </w:p>
    <w:p w:rsidR="009340C0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Էլ. փոստ՝ </w:t>
      </w:r>
      <w:hyperlink r:id="rId11">
        <w:r w:rsidRPr="00216F8C">
          <w:rPr>
            <w:rStyle w:val="Hyperlink"/>
            <w:rFonts w:ascii="GHEA Grapalat" w:hAnsi="GHEA Grapalat"/>
            <w:snapToGrid w:val="0"/>
            <w:color w:val="auto"/>
            <w:sz w:val="24"/>
            <w:szCs w:val="24"/>
          </w:rPr>
          <w:t>DELEGATION-ARMENIA@eeas.europa.eu</w:t>
        </w:r>
      </w:hyperlink>
    </w:p>
    <w:p w:rsidR="00786C33" w:rsidRPr="00216F8C" w:rsidRDefault="00CF4ED0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lastRenderedPageBreak/>
        <w:t>բ)</w:t>
      </w:r>
      <w:r w:rsidR="00216F8C">
        <w:rPr>
          <w:rFonts w:ascii="GHEA Grapalat" w:hAnsi="GHEA Grapalat"/>
          <w:b/>
          <w:snapToGrid w:val="0"/>
          <w:sz w:val="24"/>
          <w:szCs w:val="24"/>
          <w:lang w:val="en-US"/>
        </w:rPr>
        <w:tab/>
      </w:r>
      <w:r w:rsidR="00786C33" w:rsidRPr="00216F8C">
        <w:rPr>
          <w:rFonts w:ascii="GHEA Grapalat" w:hAnsi="GHEA Grapalat"/>
          <w:b/>
          <w:snapToGrid w:val="0"/>
          <w:sz w:val="24"/>
          <w:szCs w:val="24"/>
        </w:rPr>
        <w:t>Գործընկերոջ դեպքում՝</w:t>
      </w:r>
    </w:p>
    <w:p w:rsidR="009340C0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Պարոն Տիգրան Խաչատրյան</w:t>
      </w:r>
    </w:p>
    <w:p w:rsidR="00786C33" w:rsidRPr="00216F8C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Հայաստանի Հանրապետության տնտեսական զարգացման 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ներդրումների նախարար</w:t>
      </w:r>
    </w:p>
    <w:p w:rsidR="009340C0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Մ. Մկրտչյան 5,</w:t>
      </w:r>
    </w:p>
    <w:p w:rsidR="00786C33" w:rsidRPr="00216F8C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0010 ք. Եր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ան, Հայաստան</w:t>
      </w:r>
    </w:p>
    <w:p w:rsidR="00786C33" w:rsidRPr="00216F8C" w:rsidRDefault="00786C33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Էլ. փոստ՝ </w:t>
      </w:r>
      <w:hyperlink r:id="rId12" w:history="1">
        <w:r w:rsidRPr="00216F8C">
          <w:rPr>
            <w:rStyle w:val="Hyperlink"/>
            <w:rFonts w:ascii="GHEA Grapalat" w:hAnsi="GHEA Grapalat"/>
            <w:snapToGrid w:val="0"/>
            <w:color w:val="auto"/>
            <w:sz w:val="24"/>
            <w:szCs w:val="24"/>
          </w:rPr>
          <w:t>secretariat@mineconomy.am</w:t>
        </w:r>
      </w:hyperlink>
      <w:r w:rsidRPr="00216F8C">
        <w:rPr>
          <w:rFonts w:ascii="GHEA Grapalat" w:hAnsi="GHEA Grapalat"/>
          <w:sz w:val="24"/>
          <w:szCs w:val="24"/>
        </w:rPr>
        <w:t xml:space="preserve"> </w:t>
      </w:r>
      <w:r w:rsidRPr="00216F8C">
        <w:rPr>
          <w:rFonts w:ascii="GHEA Grapalat" w:hAnsi="GHEA Grapalat"/>
          <w:snapToGrid w:val="0"/>
          <w:sz w:val="24"/>
          <w:szCs w:val="24"/>
        </w:rPr>
        <w:t>Հեռ.՝ +374 11 59-71-10</w:t>
      </w:r>
    </w:p>
    <w:p w:rsidR="00216F8C" w:rsidRDefault="00216F8C" w:rsidP="00216F8C">
      <w:pPr>
        <w:widowControl w:val="0"/>
        <w:spacing w:after="160" w:line="360" w:lineRule="auto"/>
        <w:ind w:firstLine="567"/>
        <w:rPr>
          <w:rFonts w:ascii="GHEA Grapalat" w:hAnsi="GHEA Grapalat"/>
          <w:b/>
          <w:snapToGrid w:val="0"/>
          <w:sz w:val="24"/>
          <w:szCs w:val="24"/>
          <w:lang w:val="en-US"/>
        </w:rPr>
      </w:pPr>
    </w:p>
    <w:p w:rsidR="0011196B" w:rsidRPr="00216F8C" w:rsidRDefault="0011196B" w:rsidP="00216F8C">
      <w:pPr>
        <w:widowControl w:val="0"/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Հոդված 4. ԽՊԵԳ</w:t>
      </w:r>
      <w:r w:rsidR="00216F8C">
        <w:rPr>
          <w:rFonts w:ascii="GHEA Grapalat" w:hAnsi="GHEA Grapalat"/>
          <w:b/>
          <w:snapToGrid w:val="0"/>
          <w:sz w:val="24"/>
          <w:szCs w:val="24"/>
          <w:lang w:val="en-US"/>
        </w:rPr>
        <w:t>-</w:t>
      </w:r>
      <w:r w:rsidRPr="00216F8C">
        <w:rPr>
          <w:rFonts w:ascii="GHEA Grapalat" w:hAnsi="GHEA Grapalat"/>
          <w:b/>
          <w:snapToGrid w:val="0"/>
          <w:sz w:val="24"/>
          <w:szCs w:val="24"/>
        </w:rPr>
        <w:t>ի համակարգողը</w:t>
      </w:r>
    </w:p>
    <w:p w:rsidR="009340C0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Խարդախության դեմ պայքարի եվրոպական գրասենյակի (ԽՊԵԳ) ընթացիկ գործունեությանն աջակցելու նպատակով ԽՊԵԳ-ի հետ անմիջականորեն համագործակցելու համար համապատասխան լիազորություններ ունեցող՝ Գործընկերոջ համակարգողն է՝</w:t>
      </w:r>
    </w:p>
    <w:p w:rsidR="00675536" w:rsidRPr="00216F8C" w:rsidRDefault="00675536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Հայաստանի Հանրապետության հաշվեքննիչ պալատ</w:t>
      </w:r>
    </w:p>
    <w:p w:rsidR="00675536" w:rsidRPr="00216F8C" w:rsidRDefault="00675536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Մարշալ Բաղրամյան 19,</w:t>
      </w:r>
    </w:p>
    <w:p w:rsidR="00675536" w:rsidRPr="00216F8C" w:rsidRDefault="00675536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0019 ք. Եր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>ան, Հայաստանի Հանրապետություն</w:t>
      </w:r>
    </w:p>
    <w:p w:rsidR="00675536" w:rsidRPr="00216F8C" w:rsidRDefault="00675536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Էլ. փոստ՝ </w:t>
      </w:r>
      <w:hyperlink r:id="rId13">
        <w:r w:rsidRPr="00216F8C">
          <w:rPr>
            <w:rStyle w:val="Hyperlink"/>
            <w:rFonts w:ascii="GHEA Grapalat" w:hAnsi="GHEA Grapalat"/>
            <w:snapToGrid w:val="0"/>
            <w:color w:val="auto"/>
            <w:sz w:val="24"/>
            <w:szCs w:val="24"/>
          </w:rPr>
          <w:t>intrel@armsai.am</w:t>
        </w:r>
      </w:hyperlink>
    </w:p>
    <w:p w:rsidR="00216F8C" w:rsidRDefault="00216F8C" w:rsidP="00216F8C">
      <w:pPr>
        <w:widowControl w:val="0"/>
        <w:spacing w:after="160" w:line="360" w:lineRule="auto"/>
        <w:ind w:firstLine="567"/>
        <w:rPr>
          <w:rFonts w:ascii="GHEA Grapalat" w:hAnsi="GHEA Grapalat"/>
          <w:b/>
          <w:snapToGrid w:val="0"/>
          <w:sz w:val="24"/>
          <w:szCs w:val="24"/>
          <w:lang w:val="en-US"/>
        </w:rPr>
      </w:pPr>
    </w:p>
    <w:p w:rsidR="0011196B" w:rsidRPr="00216F8C" w:rsidRDefault="0011196B" w:rsidP="00216F8C">
      <w:pPr>
        <w:widowControl w:val="0"/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Հոդված 5. Հավելվածները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5.1.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Սույն Ֆինանսավորման համաձայնագիրը կազմված է՝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ա)</w:t>
      </w:r>
      <w:r w:rsidR="00216F8C">
        <w:rPr>
          <w:rFonts w:ascii="GHEA Grapalat" w:hAnsi="GHEA Grapalat"/>
          <w:snapToGrid w:val="0"/>
          <w:sz w:val="24"/>
          <w:szCs w:val="24"/>
          <w:lang w:val="en-US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սույն Հատուկ պայմաններից.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բ)</w:t>
      </w:r>
      <w:r w:rsidR="00216F8C">
        <w:rPr>
          <w:rFonts w:ascii="GHEA Grapalat" w:hAnsi="GHEA Grapalat"/>
          <w:snapToGrid w:val="0"/>
          <w:sz w:val="24"/>
          <w:szCs w:val="24"/>
          <w:lang w:val="en-US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I հավելվածից՝ Տեխնիկական եւ վարչական դրույթներ, որոնցում մանրամասնորեն ներկայացված են սույն գործողության նպատակները, </w:t>
      </w:r>
      <w:r w:rsidRPr="00216F8C">
        <w:rPr>
          <w:rFonts w:ascii="GHEA Grapalat" w:hAnsi="GHEA Grapalat"/>
          <w:snapToGrid w:val="0"/>
          <w:sz w:val="24"/>
          <w:szCs w:val="24"/>
        </w:rPr>
        <w:lastRenderedPageBreak/>
        <w:t>ակնկալվող արդյունքները, աշխատանքները, բյուջեի կատարման մասով առաջադրված խնդիրների նկարագրությունը եւ բյուջեն.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գ)</w:t>
      </w:r>
      <w:r w:rsidR="00216F8C">
        <w:rPr>
          <w:rFonts w:ascii="GHEA Grapalat" w:hAnsi="GHEA Grapalat"/>
          <w:snapToGrid w:val="0"/>
          <w:sz w:val="24"/>
          <w:szCs w:val="24"/>
          <w:lang w:val="en-US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II հավելվածից՝ Ընդհանուր պայմաններ.</w:t>
      </w:r>
    </w:p>
    <w:p w:rsidR="009340C0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դ)</w:t>
      </w:r>
      <w:r w:rsidR="00216F8C">
        <w:rPr>
          <w:rFonts w:ascii="GHEA Grapalat" w:hAnsi="GHEA Grapalat"/>
          <w:snapToGrid w:val="0"/>
          <w:sz w:val="24"/>
          <w:szCs w:val="24"/>
          <w:lang w:val="en-US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III հավելվածից՝ Հաշվետվության ձեւանմուշ, որը կիրառելի չէ սույն Ֆինանսավորման համաձայնագրի համար եւ չի ներառվում դրանում.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ե)</w:t>
      </w:r>
      <w:r w:rsidR="00216F8C" w:rsidRPr="009340C0">
        <w:rPr>
          <w:rFonts w:ascii="GHEA Grapalat" w:hAnsi="GHEA Grapalat"/>
          <w:snapToGrid w:val="0"/>
          <w:sz w:val="24"/>
          <w:szCs w:val="24"/>
        </w:rPr>
        <w:tab/>
      </w:r>
      <w:r w:rsidRPr="00216F8C">
        <w:rPr>
          <w:rFonts w:ascii="GHEA Grapalat" w:hAnsi="GHEA Grapalat"/>
          <w:snapToGrid w:val="0"/>
          <w:sz w:val="24"/>
          <w:szCs w:val="24"/>
        </w:rPr>
        <w:t>IV հավելվածից՝ Կառավարման հայտարարագրի ձ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անմուշ՝ կիրառելի չէ սույն Ֆինանսավորման համաձայնագրի համար </w:t>
      </w:r>
      <w:r w:rsidR="002221F0" w:rsidRPr="00216F8C">
        <w:rPr>
          <w:rFonts w:ascii="GHEA Grapalat" w:hAnsi="GHEA Grapalat"/>
          <w:snapToGrid w:val="0"/>
          <w:sz w:val="24"/>
          <w:szCs w:val="24"/>
        </w:rPr>
        <w:t>եւ</w:t>
      </w:r>
      <w:r w:rsidRPr="00216F8C">
        <w:rPr>
          <w:rFonts w:ascii="GHEA Grapalat" w:hAnsi="GHEA Grapalat"/>
          <w:snapToGrid w:val="0"/>
          <w:sz w:val="24"/>
          <w:szCs w:val="24"/>
        </w:rPr>
        <w:t xml:space="preserve"> չի ներառվում դրանում։</w:t>
      </w:r>
    </w:p>
    <w:p w:rsidR="0011196B" w:rsidRPr="00216F8C" w:rsidRDefault="0011196B" w:rsidP="00216F8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z w:val="24"/>
          <w:szCs w:val="24"/>
        </w:rPr>
        <w:t>5.2.</w:t>
      </w:r>
      <w:r w:rsidRPr="00216F8C">
        <w:rPr>
          <w:rFonts w:ascii="GHEA Grapalat" w:hAnsi="GHEA Grapalat"/>
          <w:sz w:val="24"/>
          <w:szCs w:val="24"/>
        </w:rPr>
        <w:tab/>
      </w:r>
      <w:r w:rsidRPr="00216F8C">
        <w:rPr>
          <w:rFonts w:ascii="GHEA Grapalat" w:hAnsi="GHEA Grapalat"/>
          <w:spacing w:val="-4"/>
          <w:sz w:val="24"/>
          <w:szCs w:val="24"/>
        </w:rPr>
        <w:t>Մի կողմից՝ հավելվածների դրույթների, իսկ մյուս կողմից՝ սույն Հատուկ պայմանների դրույթների միջեւ հակասության դեպքում կիրառվում են սույն Հատուկ պայմանների դրույթները: Մի կողմից՝ I հավելվածի (Տեխնիկական եւ վարչական դրույթներ) դրույթների եւ մյուս կողմից՝ II հավելվածի (Ընդհանուր դրույթներ) դրույթների միջեւ հակասության դեպքում կիրառվում են II հավելվածի դրույթները:</w:t>
      </w:r>
    </w:p>
    <w:p w:rsidR="00216F8C" w:rsidRDefault="00216F8C" w:rsidP="00216F8C">
      <w:pPr>
        <w:widowControl w:val="0"/>
        <w:spacing w:after="160" w:line="360" w:lineRule="auto"/>
        <w:ind w:firstLine="567"/>
        <w:rPr>
          <w:rFonts w:ascii="GHEA Grapalat" w:hAnsi="GHEA Grapalat"/>
          <w:b/>
          <w:snapToGrid w:val="0"/>
          <w:sz w:val="24"/>
          <w:szCs w:val="24"/>
          <w:lang w:val="en-US"/>
        </w:rPr>
      </w:pPr>
    </w:p>
    <w:p w:rsidR="0011196B" w:rsidRPr="00216F8C" w:rsidRDefault="0011196B" w:rsidP="00216F8C">
      <w:pPr>
        <w:widowControl w:val="0"/>
        <w:spacing w:after="160" w:line="360" w:lineRule="auto"/>
        <w:ind w:firstLine="567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216F8C">
        <w:rPr>
          <w:rFonts w:ascii="GHEA Grapalat" w:hAnsi="GHEA Grapalat"/>
          <w:b/>
          <w:snapToGrid w:val="0"/>
          <w:sz w:val="24"/>
          <w:szCs w:val="24"/>
        </w:rPr>
        <w:t>Հոդված 6. II հավելվածից (Ընդհանուր պայմաններ) շեղվող կամ այն լրացնող դրույթները</w:t>
      </w:r>
    </w:p>
    <w:p w:rsidR="007B49C8" w:rsidRPr="00216F8C" w:rsidRDefault="007B49C8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16F8C">
        <w:rPr>
          <w:rFonts w:ascii="GHEA Grapalat" w:hAnsi="GHEA Grapalat"/>
          <w:sz w:val="24"/>
          <w:szCs w:val="24"/>
        </w:rPr>
        <w:t xml:space="preserve">II հավելվածի (Ընդհանուր պայմաններ) 18-րդ, 19-րդ, 25.3, 25.4 </w:t>
      </w:r>
      <w:r w:rsidR="002221F0" w:rsidRPr="00216F8C">
        <w:rPr>
          <w:rFonts w:ascii="GHEA Grapalat" w:hAnsi="GHEA Grapalat"/>
          <w:sz w:val="24"/>
          <w:szCs w:val="24"/>
        </w:rPr>
        <w:t>եւ</w:t>
      </w:r>
      <w:r w:rsidRPr="00216F8C">
        <w:rPr>
          <w:rFonts w:ascii="GHEA Grapalat" w:hAnsi="GHEA Grapalat"/>
          <w:sz w:val="24"/>
          <w:szCs w:val="24"/>
        </w:rPr>
        <w:t xml:space="preserve"> 25.5 հոդվածները չեն տարածվում սույն Ֆինանսավորման համաձայնագրի I</w:t>
      </w:r>
      <w:r w:rsidR="009340C0" w:rsidRPr="009340C0">
        <w:rPr>
          <w:rFonts w:ascii="Courier New" w:hAnsi="Courier New" w:cs="Courier New"/>
          <w:sz w:val="24"/>
          <w:szCs w:val="24"/>
        </w:rPr>
        <w:t> </w:t>
      </w:r>
      <w:r w:rsidRPr="00216F8C">
        <w:rPr>
          <w:rFonts w:ascii="GHEA Grapalat" w:hAnsi="GHEA Grapalat"/>
          <w:sz w:val="24"/>
          <w:szCs w:val="24"/>
        </w:rPr>
        <w:t>հավելվածի համաձայն մարմնին վերապահված գործողությունների վրա:</w:t>
      </w:r>
    </w:p>
    <w:p w:rsidR="009340C0" w:rsidRDefault="00E115CB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16F8C">
        <w:rPr>
          <w:rFonts w:ascii="GHEA Grapalat" w:hAnsi="GHEA Grapalat"/>
          <w:sz w:val="24"/>
          <w:szCs w:val="24"/>
        </w:rPr>
        <w:t xml:space="preserve">II հավելվածի (Ընդհանուր պայմաններ) </w:t>
      </w:r>
      <w:r w:rsidR="007B49C8" w:rsidRPr="00216F8C">
        <w:rPr>
          <w:rFonts w:ascii="GHEA Grapalat" w:hAnsi="GHEA Grapalat"/>
          <w:sz w:val="24"/>
          <w:szCs w:val="24"/>
        </w:rPr>
        <w:t xml:space="preserve">5.3 հոդվածի երկրորդ ենթապարբերության </w:t>
      </w:r>
      <w:r w:rsidR="002221F0" w:rsidRPr="00216F8C">
        <w:rPr>
          <w:rFonts w:ascii="GHEA Grapalat" w:hAnsi="GHEA Grapalat"/>
          <w:sz w:val="24"/>
          <w:szCs w:val="24"/>
        </w:rPr>
        <w:t>եւ</w:t>
      </w:r>
      <w:r w:rsidR="007B49C8" w:rsidRPr="00216F8C">
        <w:rPr>
          <w:rFonts w:ascii="GHEA Grapalat" w:hAnsi="GHEA Grapalat"/>
          <w:sz w:val="24"/>
          <w:szCs w:val="24"/>
        </w:rPr>
        <w:t xml:space="preserve"> 15.1 հոդվածի համաձայն 2018 թվականի</w:t>
      </w:r>
      <w:r w:rsidRPr="00216F8C">
        <w:rPr>
          <w:rFonts w:ascii="GHEA Grapalat" w:hAnsi="GHEA Grapalat"/>
          <w:sz w:val="24"/>
          <w:szCs w:val="24"/>
        </w:rPr>
        <w:t xml:space="preserve"> հունվարի 1-ի</w:t>
      </w:r>
      <w:r w:rsidR="007B49C8" w:rsidRPr="00216F8C">
        <w:rPr>
          <w:rFonts w:ascii="GHEA Grapalat" w:hAnsi="GHEA Grapalat"/>
          <w:sz w:val="24"/>
          <w:szCs w:val="24"/>
        </w:rPr>
        <w:t>ց Գործընկերոջ կրած ծախսերը թույլատրելի են ԵՄ ֆինանսավորման համար։</w:t>
      </w:r>
    </w:p>
    <w:p w:rsidR="00216F8C" w:rsidRDefault="00216F8C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1196B" w:rsidRPr="00216F8C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216F8C">
        <w:rPr>
          <w:rFonts w:ascii="GHEA Grapalat" w:hAnsi="GHEA Grapalat"/>
          <w:b/>
          <w:sz w:val="24"/>
          <w:szCs w:val="24"/>
        </w:rPr>
        <w:t>Հոդված 7. Ուժի մեջ մտնելը</w:t>
      </w:r>
    </w:p>
    <w:p w:rsidR="0011196B" w:rsidRPr="00216F8C" w:rsidRDefault="007B49C8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 xml:space="preserve">Սույն Ֆինանսավորման համաձայնագիրն ուժի մեջ է մտնում այն օրը, երբ Հանձնաժողովը Գործընկերոջ կողմից ստանում է սույն Ֆինանսավորման </w:t>
      </w:r>
      <w:r w:rsidRPr="00216F8C">
        <w:rPr>
          <w:rFonts w:ascii="GHEA Grapalat" w:hAnsi="GHEA Grapalat"/>
          <w:snapToGrid w:val="0"/>
          <w:sz w:val="24"/>
          <w:szCs w:val="24"/>
        </w:rPr>
        <w:lastRenderedPageBreak/>
        <w:t>համաձայնագիրն ուժի մեջ մտնելու համար անհրաժեշտ ներքին ընթացակարգերը Գործընկերոջ կողմից կատարելը հաստատելու մասին ծանուցում։ Հանձնաժողովը Գործընկերոջը հայտնում է այդ ծանուցումն ստանալու ամսաթիվը: Սույն Ֆինանսավորման համաձայնագիրն ուժի մեջ չի մտնում, եթե մինչեւ 2018 թվականի դեկտեմբերի 31-ը Հանձնաժողովը նման ծանուցում չի ստանում</w:t>
      </w:r>
      <w:r w:rsidR="00216F8C">
        <w:rPr>
          <w:rFonts w:ascii="GHEA Grapalat" w:hAnsi="GHEA Grapalat"/>
          <w:snapToGrid w:val="0"/>
          <w:sz w:val="24"/>
          <w:szCs w:val="24"/>
        </w:rPr>
        <w:t>:</w:t>
      </w:r>
    </w:p>
    <w:p w:rsidR="0011196B" w:rsidRPr="00216F8C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6D776D" w:rsidRPr="00216F8C" w:rsidRDefault="006D776D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216F8C">
        <w:rPr>
          <w:rFonts w:ascii="GHEA Grapalat" w:hAnsi="GHEA Grapalat"/>
          <w:snapToGrid w:val="0"/>
          <w:sz w:val="24"/>
          <w:szCs w:val="24"/>
        </w:rPr>
        <w:t>Կատարված է երկու բնօրինակից. մեկ օրինակ հանձնվում է Հանձնաժողովին, մեկ օրինակ` Գործընկերոջը։</w:t>
      </w:r>
    </w:p>
    <w:p w:rsidR="0011196B" w:rsidRDefault="0011196B" w:rsidP="00216F8C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216F8C" w:rsidRPr="00BC430D" w:rsidTr="00083450">
        <w:tc>
          <w:tcPr>
            <w:tcW w:w="4644" w:type="dxa"/>
          </w:tcPr>
          <w:p w:rsidR="00216F8C" w:rsidRPr="00BC430D" w:rsidRDefault="00216F8C" w:rsidP="00083450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Գործընկերոջ կողմից՝</w:t>
            </w:r>
          </w:p>
        </w:tc>
        <w:tc>
          <w:tcPr>
            <w:tcW w:w="4644" w:type="dxa"/>
          </w:tcPr>
          <w:p w:rsidR="00216F8C" w:rsidRPr="00BC430D" w:rsidRDefault="00216F8C" w:rsidP="00083450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Հանձնաժողովի կողմից՝</w:t>
            </w:r>
          </w:p>
        </w:tc>
      </w:tr>
      <w:tr w:rsidR="00216F8C" w:rsidRPr="00BC430D" w:rsidTr="00083450">
        <w:tc>
          <w:tcPr>
            <w:tcW w:w="4644" w:type="dxa"/>
          </w:tcPr>
          <w:p w:rsidR="00216F8C" w:rsidRPr="00BC430D" w:rsidRDefault="009340C0" w:rsidP="00083450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216F8C">
              <w:rPr>
                <w:rFonts w:ascii="GHEA Grapalat" w:hAnsi="GHEA Grapalat"/>
                <w:snapToGrid w:val="0"/>
                <w:sz w:val="24"/>
                <w:szCs w:val="24"/>
              </w:rPr>
              <w:t xml:space="preserve">Պարոն </w:t>
            </w:r>
            <w:r w:rsidR="00216F8C" w:rsidRPr="00BC430D">
              <w:rPr>
                <w:rFonts w:ascii="GHEA Grapalat" w:hAnsi="GHEA Grapalat"/>
                <w:snapToGrid w:val="0"/>
                <w:sz w:val="24"/>
                <w:szCs w:val="24"/>
              </w:rPr>
              <w:t>Տիգրան Խաչատրյան</w:t>
            </w:r>
          </w:p>
        </w:tc>
        <w:tc>
          <w:tcPr>
            <w:tcW w:w="4644" w:type="dxa"/>
          </w:tcPr>
          <w:p w:rsidR="00216F8C" w:rsidRPr="00BC430D" w:rsidRDefault="00216F8C" w:rsidP="00083450">
            <w:pPr>
              <w:spacing w:after="160" w:line="360" w:lineRule="auto"/>
              <w:jc w:val="both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Լորենս Մերեդիթ</w:t>
            </w:r>
          </w:p>
        </w:tc>
      </w:tr>
      <w:tr w:rsidR="00216F8C" w:rsidRPr="00BC430D" w:rsidTr="00083450">
        <w:tc>
          <w:tcPr>
            <w:tcW w:w="4644" w:type="dxa"/>
          </w:tcPr>
          <w:p w:rsidR="00216F8C" w:rsidRPr="009340C0" w:rsidRDefault="00216F8C" w:rsidP="009340C0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Տնտեսական զարգացման եւ ներդրումների նախարար</w:t>
            </w:r>
          </w:p>
        </w:tc>
        <w:tc>
          <w:tcPr>
            <w:tcW w:w="4644" w:type="dxa"/>
          </w:tcPr>
          <w:p w:rsidR="00216F8C" w:rsidRPr="00BC430D" w:rsidRDefault="009340C0" w:rsidP="0008345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216F8C">
              <w:rPr>
                <w:rFonts w:ascii="GHEA Grapalat" w:hAnsi="GHEA Grapalat"/>
                <w:snapToGrid w:val="0"/>
                <w:sz w:val="24"/>
                <w:szCs w:val="24"/>
              </w:rPr>
              <w:t>Եվրոպական հանձնաժողովի Հարեւանության եւ ընդլայնման բանակցությունների հարցերով գլխավոր տնօրինության արեւելյան հարեւանության հարցերով տնօրեն, «C» բաժին</w:t>
            </w:r>
          </w:p>
        </w:tc>
      </w:tr>
      <w:tr w:rsidR="00216F8C" w:rsidRPr="00BC430D" w:rsidTr="00083450">
        <w:tc>
          <w:tcPr>
            <w:tcW w:w="4644" w:type="dxa"/>
          </w:tcPr>
          <w:p w:rsidR="00216F8C" w:rsidRPr="008462E4" w:rsidRDefault="009340C0" w:rsidP="0008345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 xml:space="preserve">ստորագրություն </w:t>
            </w:r>
            <w:r w:rsidR="00216F8C"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4644" w:type="dxa"/>
          </w:tcPr>
          <w:p w:rsidR="00216F8C" w:rsidRPr="00BC430D" w:rsidRDefault="009340C0" w:rsidP="00083450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 xml:space="preserve">ստորագրություն </w:t>
            </w:r>
            <w:r w:rsidR="00216F8C" w:rsidRPr="00BC430D">
              <w:rPr>
                <w:rFonts w:ascii="GHEA Grapalat" w:hAnsi="GHEA Grapalat"/>
                <w:snapToGrid w:val="0"/>
                <w:sz w:val="24"/>
                <w:szCs w:val="24"/>
              </w:rPr>
              <w:t>———————</w:t>
            </w:r>
          </w:p>
        </w:tc>
      </w:tr>
      <w:tr w:rsidR="00216F8C" w:rsidRPr="0080214C" w:rsidTr="00083450">
        <w:tc>
          <w:tcPr>
            <w:tcW w:w="4644" w:type="dxa"/>
          </w:tcPr>
          <w:p w:rsidR="00216F8C" w:rsidRPr="008462E4" w:rsidRDefault="00216F8C" w:rsidP="0008345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ամսաթիվը`</w:t>
            </w:r>
            <w:r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 xml:space="preserve"> ______________</w:t>
            </w:r>
          </w:p>
        </w:tc>
        <w:tc>
          <w:tcPr>
            <w:tcW w:w="4644" w:type="dxa"/>
          </w:tcPr>
          <w:p w:rsidR="00216F8C" w:rsidRPr="0080214C" w:rsidRDefault="00216F8C" w:rsidP="00083450">
            <w:pPr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  <w:lang w:val="en-US"/>
              </w:rPr>
            </w:pPr>
            <w:r w:rsidRPr="00BC430D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ամսաթիվը`________________</w:t>
            </w:r>
          </w:p>
        </w:tc>
      </w:tr>
    </w:tbl>
    <w:p w:rsidR="00675536" w:rsidRPr="00216F8C" w:rsidRDefault="00675536" w:rsidP="00216F8C">
      <w:pPr>
        <w:widowControl w:val="0"/>
        <w:spacing w:after="160" w:line="360" w:lineRule="auto"/>
        <w:ind w:firstLine="567"/>
        <w:rPr>
          <w:rFonts w:ascii="GHEA Grapalat" w:eastAsia="Times New Roman" w:hAnsi="GHEA Grapalat"/>
          <w:snapToGrid w:val="0"/>
          <w:sz w:val="24"/>
          <w:szCs w:val="24"/>
        </w:rPr>
      </w:pPr>
    </w:p>
    <w:sectPr w:rsidR="00675536" w:rsidRPr="00216F8C" w:rsidSect="00216F8C">
      <w:footerReference w:type="defaul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A3B" w:rsidRDefault="00A76A3B" w:rsidP="0011196B">
      <w:pPr>
        <w:spacing w:after="0" w:line="240" w:lineRule="auto"/>
      </w:pPr>
      <w:r>
        <w:separator/>
      </w:r>
    </w:p>
  </w:endnote>
  <w:endnote w:type="continuationSeparator" w:id="0">
    <w:p w:rsidR="00A76A3B" w:rsidRDefault="00A76A3B" w:rsidP="0011196B">
      <w:pPr>
        <w:spacing w:after="0" w:line="240" w:lineRule="auto"/>
      </w:pPr>
      <w:r>
        <w:continuationSeparator/>
      </w:r>
    </w:p>
  </w:endnote>
  <w:endnote w:type="continuationNotice" w:id="1">
    <w:p w:rsidR="00A76A3B" w:rsidRDefault="00A76A3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45" w:rsidRPr="00216F8C" w:rsidRDefault="00954245" w:rsidP="00216F8C">
    <w:pPr>
      <w:pStyle w:val="Footer"/>
      <w:spacing w:after="120" w:line="240" w:lineRule="auto"/>
      <w:rPr>
        <w:rFonts w:ascii="GHEA Grapalat" w:hAnsi="GHEA Grapalat"/>
        <w:noProof/>
        <w:sz w:val="24"/>
        <w:szCs w:val="24"/>
      </w:rPr>
    </w:pPr>
    <w:r w:rsidRPr="00216F8C">
      <w:rPr>
        <w:rFonts w:ascii="GHEA Grapalat" w:hAnsi="GHEA Grapalat"/>
        <w:b/>
        <w:sz w:val="24"/>
        <w:szCs w:val="24"/>
      </w:rPr>
      <w:t>2018 թվականի հուլիս</w:t>
    </w:r>
    <w:r w:rsidRPr="00216F8C">
      <w:rPr>
        <w:rFonts w:ascii="GHEA Grapalat" w:hAnsi="GHEA Grapalat"/>
        <w:sz w:val="24"/>
        <w:szCs w:val="24"/>
      </w:rPr>
      <w:tab/>
    </w:r>
    <w:r w:rsidRPr="00216F8C">
      <w:rPr>
        <w:rFonts w:ascii="GHEA Grapalat" w:hAnsi="GHEA Grapalat"/>
        <w:sz w:val="24"/>
        <w:szCs w:val="24"/>
      </w:rPr>
      <w:tab/>
    </w:r>
    <w:r w:rsidR="005B2D61" w:rsidRPr="00216F8C">
      <w:rPr>
        <w:rFonts w:ascii="GHEA Grapalat" w:hAnsi="GHEA Grapalat"/>
        <w:sz w:val="24"/>
        <w:szCs w:val="24"/>
      </w:rPr>
      <w:fldChar w:fldCharType="begin"/>
    </w:r>
    <w:r w:rsidRPr="00216F8C">
      <w:rPr>
        <w:rFonts w:ascii="GHEA Grapalat" w:hAnsi="GHEA Grapalat"/>
        <w:sz w:val="24"/>
        <w:szCs w:val="24"/>
      </w:rPr>
      <w:instrText xml:space="preserve"> PAGE   \* MERGEFORMAT </w:instrText>
    </w:r>
    <w:r w:rsidR="005B2D61" w:rsidRPr="00216F8C">
      <w:rPr>
        <w:rFonts w:ascii="GHEA Grapalat" w:hAnsi="GHEA Grapalat"/>
        <w:sz w:val="24"/>
        <w:szCs w:val="24"/>
      </w:rPr>
      <w:fldChar w:fldCharType="separate"/>
    </w:r>
    <w:r w:rsidR="00D77EB4">
      <w:rPr>
        <w:rFonts w:ascii="GHEA Grapalat" w:hAnsi="GHEA Grapalat"/>
        <w:noProof/>
        <w:sz w:val="24"/>
        <w:szCs w:val="24"/>
      </w:rPr>
      <w:t>2</w:t>
    </w:r>
    <w:r w:rsidR="005B2D61" w:rsidRPr="00216F8C">
      <w:rPr>
        <w:rFonts w:ascii="GHEA Grapalat" w:hAnsi="GHEA Grapalat"/>
        <w:noProof/>
        <w:sz w:val="24"/>
        <w:szCs w:val="24"/>
      </w:rPr>
      <w:fldChar w:fldCharType="end"/>
    </w:r>
  </w:p>
  <w:p w:rsidR="00954245" w:rsidRPr="00216F8C" w:rsidRDefault="005B2D61" w:rsidP="00216F8C">
    <w:pPr>
      <w:pStyle w:val="Footer"/>
      <w:spacing w:after="120" w:line="240" w:lineRule="auto"/>
      <w:rPr>
        <w:rFonts w:ascii="GHEA Grapalat" w:hAnsi="GHEA Grapalat"/>
        <w:sz w:val="24"/>
        <w:szCs w:val="24"/>
      </w:rPr>
    </w:pPr>
    <w:fldSimple w:instr=" FILENAME   \* MERGEFORMAT ">
      <w:r w:rsidR="00D77EB4" w:rsidRPr="00D77EB4">
        <w:rPr>
          <w:rFonts w:ascii="GHEA Grapalat" w:hAnsi="GHEA Grapalat"/>
          <w:noProof/>
          <w:sz w:val="24"/>
          <w:szCs w:val="24"/>
        </w:rPr>
        <w:t>3.Hamadzaynagir_ARM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A3B" w:rsidRDefault="00A76A3B" w:rsidP="0011196B">
      <w:pPr>
        <w:spacing w:after="0" w:line="240" w:lineRule="auto"/>
      </w:pPr>
      <w:r>
        <w:separator/>
      </w:r>
    </w:p>
  </w:footnote>
  <w:footnote w:type="continuationSeparator" w:id="0">
    <w:p w:rsidR="00A76A3B" w:rsidRDefault="00A76A3B" w:rsidP="0011196B">
      <w:pPr>
        <w:spacing w:after="0" w:line="240" w:lineRule="auto"/>
      </w:pPr>
      <w:r>
        <w:continuationSeparator/>
      </w:r>
    </w:p>
  </w:footnote>
  <w:footnote w:type="continuationNotice" w:id="1">
    <w:p w:rsidR="00A76A3B" w:rsidRDefault="00A76A3B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16A3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LW_DocType" w:val="NORMAL"/>
  </w:docVars>
  <w:rsids>
    <w:rsidRoot w:val="0011196B"/>
    <w:rsid w:val="000002E9"/>
    <w:rsid w:val="0000746F"/>
    <w:rsid w:val="00024265"/>
    <w:rsid w:val="00030164"/>
    <w:rsid w:val="000517A4"/>
    <w:rsid w:val="00051F95"/>
    <w:rsid w:val="000608DD"/>
    <w:rsid w:val="0006708C"/>
    <w:rsid w:val="00067D96"/>
    <w:rsid w:val="00071E16"/>
    <w:rsid w:val="00072F44"/>
    <w:rsid w:val="00073E33"/>
    <w:rsid w:val="00080730"/>
    <w:rsid w:val="000862E2"/>
    <w:rsid w:val="00086AC8"/>
    <w:rsid w:val="00094951"/>
    <w:rsid w:val="000D476B"/>
    <w:rsid w:val="000F6D72"/>
    <w:rsid w:val="00101812"/>
    <w:rsid w:val="0010676F"/>
    <w:rsid w:val="0011196B"/>
    <w:rsid w:val="00120362"/>
    <w:rsid w:val="00126520"/>
    <w:rsid w:val="0012718E"/>
    <w:rsid w:val="0014043D"/>
    <w:rsid w:val="001476BC"/>
    <w:rsid w:val="00153A62"/>
    <w:rsid w:val="00154AE9"/>
    <w:rsid w:val="001573F0"/>
    <w:rsid w:val="00187D42"/>
    <w:rsid w:val="0019087A"/>
    <w:rsid w:val="00193FB6"/>
    <w:rsid w:val="00197FB7"/>
    <w:rsid w:val="001A2466"/>
    <w:rsid w:val="001A3C10"/>
    <w:rsid w:val="001C247A"/>
    <w:rsid w:val="001C66C2"/>
    <w:rsid w:val="001C6BC5"/>
    <w:rsid w:val="001D1140"/>
    <w:rsid w:val="001D28C2"/>
    <w:rsid w:val="001F14DF"/>
    <w:rsid w:val="001F4D4C"/>
    <w:rsid w:val="001F7F5E"/>
    <w:rsid w:val="002063D3"/>
    <w:rsid w:val="00216F8C"/>
    <w:rsid w:val="00217159"/>
    <w:rsid w:val="0021733A"/>
    <w:rsid w:val="0022061D"/>
    <w:rsid w:val="002221F0"/>
    <w:rsid w:val="00222928"/>
    <w:rsid w:val="002304EA"/>
    <w:rsid w:val="00232C9C"/>
    <w:rsid w:val="0024365B"/>
    <w:rsid w:val="002479D2"/>
    <w:rsid w:val="0025443D"/>
    <w:rsid w:val="00256136"/>
    <w:rsid w:val="002561D3"/>
    <w:rsid w:val="00256EE4"/>
    <w:rsid w:val="00257821"/>
    <w:rsid w:val="00264F71"/>
    <w:rsid w:val="00265DB4"/>
    <w:rsid w:val="002753A3"/>
    <w:rsid w:val="002916F2"/>
    <w:rsid w:val="00294F92"/>
    <w:rsid w:val="002B2940"/>
    <w:rsid w:val="002D35D7"/>
    <w:rsid w:val="002D6B04"/>
    <w:rsid w:val="002E0DFE"/>
    <w:rsid w:val="002E17AA"/>
    <w:rsid w:val="002E6C8A"/>
    <w:rsid w:val="002F6B72"/>
    <w:rsid w:val="00303C2D"/>
    <w:rsid w:val="003047B4"/>
    <w:rsid w:val="003369CB"/>
    <w:rsid w:val="00341AEF"/>
    <w:rsid w:val="00346CB2"/>
    <w:rsid w:val="00350788"/>
    <w:rsid w:val="003536C7"/>
    <w:rsid w:val="00362E25"/>
    <w:rsid w:val="003642B8"/>
    <w:rsid w:val="003700B2"/>
    <w:rsid w:val="00371EE7"/>
    <w:rsid w:val="003760C6"/>
    <w:rsid w:val="00382EE3"/>
    <w:rsid w:val="00387DA3"/>
    <w:rsid w:val="00394C23"/>
    <w:rsid w:val="003A3849"/>
    <w:rsid w:val="003B30EC"/>
    <w:rsid w:val="003C5FD8"/>
    <w:rsid w:val="003D442C"/>
    <w:rsid w:val="003E6190"/>
    <w:rsid w:val="003E667C"/>
    <w:rsid w:val="003F0CBA"/>
    <w:rsid w:val="0041422D"/>
    <w:rsid w:val="00423DD6"/>
    <w:rsid w:val="00430C97"/>
    <w:rsid w:val="00431E34"/>
    <w:rsid w:val="00441229"/>
    <w:rsid w:val="004547F5"/>
    <w:rsid w:val="00464339"/>
    <w:rsid w:val="004663DD"/>
    <w:rsid w:val="00474C41"/>
    <w:rsid w:val="004775FB"/>
    <w:rsid w:val="004A77D8"/>
    <w:rsid w:val="004C585F"/>
    <w:rsid w:val="004D1ADC"/>
    <w:rsid w:val="004E0BD7"/>
    <w:rsid w:val="004E15E2"/>
    <w:rsid w:val="004E3846"/>
    <w:rsid w:val="004F0BA8"/>
    <w:rsid w:val="005068C3"/>
    <w:rsid w:val="00524E96"/>
    <w:rsid w:val="00525ABC"/>
    <w:rsid w:val="00563C6E"/>
    <w:rsid w:val="00573955"/>
    <w:rsid w:val="005A52F9"/>
    <w:rsid w:val="005B2D61"/>
    <w:rsid w:val="005B6145"/>
    <w:rsid w:val="005E2E58"/>
    <w:rsid w:val="005E5092"/>
    <w:rsid w:val="005F4CBD"/>
    <w:rsid w:val="006005A3"/>
    <w:rsid w:val="00603E70"/>
    <w:rsid w:val="0060673A"/>
    <w:rsid w:val="00613FF6"/>
    <w:rsid w:val="00617B63"/>
    <w:rsid w:val="00624191"/>
    <w:rsid w:val="00631801"/>
    <w:rsid w:val="00657A61"/>
    <w:rsid w:val="0067039F"/>
    <w:rsid w:val="00671ADA"/>
    <w:rsid w:val="00675536"/>
    <w:rsid w:val="00682B3D"/>
    <w:rsid w:val="00683C05"/>
    <w:rsid w:val="006902AC"/>
    <w:rsid w:val="00692F76"/>
    <w:rsid w:val="006A4951"/>
    <w:rsid w:val="006B7E95"/>
    <w:rsid w:val="006D1B41"/>
    <w:rsid w:val="006D776D"/>
    <w:rsid w:val="006E187C"/>
    <w:rsid w:val="006E50AD"/>
    <w:rsid w:val="006F341E"/>
    <w:rsid w:val="006F6516"/>
    <w:rsid w:val="0070278D"/>
    <w:rsid w:val="00707676"/>
    <w:rsid w:val="00717059"/>
    <w:rsid w:val="00720EA7"/>
    <w:rsid w:val="007215DA"/>
    <w:rsid w:val="0072211B"/>
    <w:rsid w:val="00724052"/>
    <w:rsid w:val="00725AA0"/>
    <w:rsid w:val="00737B3D"/>
    <w:rsid w:val="00741616"/>
    <w:rsid w:val="007558F3"/>
    <w:rsid w:val="00786C33"/>
    <w:rsid w:val="00792EB1"/>
    <w:rsid w:val="00793D2C"/>
    <w:rsid w:val="007A055C"/>
    <w:rsid w:val="007A0AFD"/>
    <w:rsid w:val="007A0B2C"/>
    <w:rsid w:val="007A14F1"/>
    <w:rsid w:val="007B49C8"/>
    <w:rsid w:val="007B7012"/>
    <w:rsid w:val="007C016E"/>
    <w:rsid w:val="007C23C3"/>
    <w:rsid w:val="007F2812"/>
    <w:rsid w:val="007F3330"/>
    <w:rsid w:val="007F69BD"/>
    <w:rsid w:val="00801805"/>
    <w:rsid w:val="008060F7"/>
    <w:rsid w:val="00813548"/>
    <w:rsid w:val="00820DD4"/>
    <w:rsid w:val="008323DA"/>
    <w:rsid w:val="00833A5D"/>
    <w:rsid w:val="0083678C"/>
    <w:rsid w:val="00836A57"/>
    <w:rsid w:val="00852A5F"/>
    <w:rsid w:val="00856BD9"/>
    <w:rsid w:val="00865D72"/>
    <w:rsid w:val="00871C02"/>
    <w:rsid w:val="00874CE8"/>
    <w:rsid w:val="008955AC"/>
    <w:rsid w:val="008A2B2A"/>
    <w:rsid w:val="008B1C32"/>
    <w:rsid w:val="008D5690"/>
    <w:rsid w:val="008E363E"/>
    <w:rsid w:val="008E6A9A"/>
    <w:rsid w:val="008F060E"/>
    <w:rsid w:val="009006EB"/>
    <w:rsid w:val="00912A01"/>
    <w:rsid w:val="00913DED"/>
    <w:rsid w:val="009340C0"/>
    <w:rsid w:val="00937F77"/>
    <w:rsid w:val="00954245"/>
    <w:rsid w:val="00955EFE"/>
    <w:rsid w:val="0096609A"/>
    <w:rsid w:val="00980871"/>
    <w:rsid w:val="009942FA"/>
    <w:rsid w:val="009956A4"/>
    <w:rsid w:val="009B697C"/>
    <w:rsid w:val="009B7EB1"/>
    <w:rsid w:val="009C7175"/>
    <w:rsid w:val="009D1271"/>
    <w:rsid w:val="009E0A6E"/>
    <w:rsid w:val="009E1913"/>
    <w:rsid w:val="009F185C"/>
    <w:rsid w:val="00A005DC"/>
    <w:rsid w:val="00A00D0C"/>
    <w:rsid w:val="00A043FF"/>
    <w:rsid w:val="00A071D1"/>
    <w:rsid w:val="00A161E8"/>
    <w:rsid w:val="00A25378"/>
    <w:rsid w:val="00A25525"/>
    <w:rsid w:val="00A26221"/>
    <w:rsid w:val="00A367A0"/>
    <w:rsid w:val="00A41E7A"/>
    <w:rsid w:val="00A47C11"/>
    <w:rsid w:val="00A526B3"/>
    <w:rsid w:val="00A67D9F"/>
    <w:rsid w:val="00A7696E"/>
    <w:rsid w:val="00A76A3B"/>
    <w:rsid w:val="00A916F8"/>
    <w:rsid w:val="00A972CA"/>
    <w:rsid w:val="00AA7CD8"/>
    <w:rsid w:val="00AB1447"/>
    <w:rsid w:val="00AC5B67"/>
    <w:rsid w:val="00B0015D"/>
    <w:rsid w:val="00B07FA4"/>
    <w:rsid w:val="00B11FED"/>
    <w:rsid w:val="00B31860"/>
    <w:rsid w:val="00B33619"/>
    <w:rsid w:val="00B55779"/>
    <w:rsid w:val="00B56E5F"/>
    <w:rsid w:val="00B75D13"/>
    <w:rsid w:val="00B81079"/>
    <w:rsid w:val="00B86279"/>
    <w:rsid w:val="00B95F3C"/>
    <w:rsid w:val="00BC6675"/>
    <w:rsid w:val="00BD4CA8"/>
    <w:rsid w:val="00BE1B2A"/>
    <w:rsid w:val="00BE1D93"/>
    <w:rsid w:val="00C10BF9"/>
    <w:rsid w:val="00C22EFC"/>
    <w:rsid w:val="00C235EC"/>
    <w:rsid w:val="00C2665B"/>
    <w:rsid w:val="00C353D6"/>
    <w:rsid w:val="00C35860"/>
    <w:rsid w:val="00C4689F"/>
    <w:rsid w:val="00C53AB2"/>
    <w:rsid w:val="00C54037"/>
    <w:rsid w:val="00C551AA"/>
    <w:rsid w:val="00C64536"/>
    <w:rsid w:val="00C67072"/>
    <w:rsid w:val="00C70291"/>
    <w:rsid w:val="00C85770"/>
    <w:rsid w:val="00C91EBC"/>
    <w:rsid w:val="00C976A5"/>
    <w:rsid w:val="00CA3AD4"/>
    <w:rsid w:val="00CA4446"/>
    <w:rsid w:val="00CA63F4"/>
    <w:rsid w:val="00CB45B4"/>
    <w:rsid w:val="00CD4A8E"/>
    <w:rsid w:val="00CE2E39"/>
    <w:rsid w:val="00CE3B5E"/>
    <w:rsid w:val="00CE4EB1"/>
    <w:rsid w:val="00CE607A"/>
    <w:rsid w:val="00CE7224"/>
    <w:rsid w:val="00CF0481"/>
    <w:rsid w:val="00CF4ED0"/>
    <w:rsid w:val="00D04F79"/>
    <w:rsid w:val="00D06C2F"/>
    <w:rsid w:val="00D10D00"/>
    <w:rsid w:val="00D10E08"/>
    <w:rsid w:val="00D44D48"/>
    <w:rsid w:val="00D573F4"/>
    <w:rsid w:val="00D66B82"/>
    <w:rsid w:val="00D77EB4"/>
    <w:rsid w:val="00D80507"/>
    <w:rsid w:val="00D80E3B"/>
    <w:rsid w:val="00D87605"/>
    <w:rsid w:val="00D90241"/>
    <w:rsid w:val="00DF44F3"/>
    <w:rsid w:val="00E038B8"/>
    <w:rsid w:val="00E10E0F"/>
    <w:rsid w:val="00E115CB"/>
    <w:rsid w:val="00E246B7"/>
    <w:rsid w:val="00E3506A"/>
    <w:rsid w:val="00E36A05"/>
    <w:rsid w:val="00E40B83"/>
    <w:rsid w:val="00E427A4"/>
    <w:rsid w:val="00E5427F"/>
    <w:rsid w:val="00E5487B"/>
    <w:rsid w:val="00E56B22"/>
    <w:rsid w:val="00E71C24"/>
    <w:rsid w:val="00E75FBD"/>
    <w:rsid w:val="00E77708"/>
    <w:rsid w:val="00EA7CDE"/>
    <w:rsid w:val="00EB4036"/>
    <w:rsid w:val="00EB40F4"/>
    <w:rsid w:val="00EC0273"/>
    <w:rsid w:val="00EC2EBA"/>
    <w:rsid w:val="00EE134F"/>
    <w:rsid w:val="00EF4506"/>
    <w:rsid w:val="00EF4AF3"/>
    <w:rsid w:val="00EF6E4B"/>
    <w:rsid w:val="00F0073F"/>
    <w:rsid w:val="00F10347"/>
    <w:rsid w:val="00F21C5E"/>
    <w:rsid w:val="00F27E12"/>
    <w:rsid w:val="00F36EFF"/>
    <w:rsid w:val="00F56AFA"/>
    <w:rsid w:val="00F6099A"/>
    <w:rsid w:val="00F6583A"/>
    <w:rsid w:val="00F71E7A"/>
    <w:rsid w:val="00F77D9C"/>
    <w:rsid w:val="00F9111C"/>
    <w:rsid w:val="00FB4D2F"/>
    <w:rsid w:val="00FC454F"/>
    <w:rsid w:val="00FD3B82"/>
    <w:rsid w:val="00FE19F3"/>
    <w:rsid w:val="00FF3409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196B"/>
    <w:rPr>
      <w:sz w:val="22"/>
      <w:szCs w:val="22"/>
      <w:lang w:eastAsia="hy-AM"/>
    </w:rPr>
  </w:style>
  <w:style w:type="paragraph" w:styleId="Footer">
    <w:name w:val="footer"/>
    <w:basedOn w:val="Normal"/>
    <w:link w:val="Foot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196B"/>
    <w:rPr>
      <w:sz w:val="22"/>
      <w:szCs w:val="22"/>
      <w:lang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B2C"/>
    <w:rPr>
      <w:rFonts w:ascii="Tahoma" w:hAnsi="Tahoma" w:cs="Tahoma"/>
      <w:sz w:val="16"/>
      <w:szCs w:val="16"/>
      <w:lang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5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0015D"/>
    <w:rPr>
      <w:lang w:eastAsia="hy-AM"/>
    </w:rPr>
  </w:style>
  <w:style w:type="character" w:styleId="Hyperlink">
    <w:name w:val="Hyperlink"/>
    <w:unhideWhenUsed/>
    <w:rsid w:val="00B0015D"/>
    <w:rPr>
      <w:color w:val="0000FF"/>
      <w:u w:val="single"/>
    </w:rPr>
  </w:style>
  <w:style w:type="character" w:styleId="FootnoteReference">
    <w:name w:val="footnote reference"/>
    <w:unhideWhenUsed/>
    <w:rsid w:val="00B0015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0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76F"/>
    <w:rPr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76F"/>
    <w:rPr>
      <w:b/>
      <w:bCs/>
      <w:lang w:eastAsia="hy-AM"/>
    </w:rPr>
  </w:style>
  <w:style w:type="paragraph" w:styleId="Revision">
    <w:name w:val="Revision"/>
    <w:hidden/>
    <w:uiPriority w:val="99"/>
    <w:semiHidden/>
    <w:rsid w:val="0010676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75536"/>
    <w:pPr>
      <w:ind w:left="720"/>
      <w:contextualSpacing/>
    </w:pPr>
  </w:style>
  <w:style w:type="table" w:styleId="TableGrid">
    <w:name w:val="Table Grid"/>
    <w:basedOn w:val="TableNormal"/>
    <w:uiPriority w:val="59"/>
    <w:rsid w:val="00CF4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19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196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B2C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5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0015D"/>
    <w:rPr>
      <w:lang w:eastAsia="en-US"/>
    </w:rPr>
  </w:style>
  <w:style w:type="character" w:styleId="Hyperlink">
    <w:name w:val="Hyperlink"/>
    <w:unhideWhenUsed/>
    <w:rsid w:val="00B0015D"/>
    <w:rPr>
      <w:color w:val="0000FF"/>
      <w:u w:val="single"/>
    </w:rPr>
  </w:style>
  <w:style w:type="character" w:styleId="FootnoteReference">
    <w:name w:val="footnote reference"/>
    <w:unhideWhenUsed/>
    <w:rsid w:val="00B0015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0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7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76F"/>
    <w:rPr>
      <w:b/>
      <w:bCs/>
      <w:lang w:eastAsia="en-US"/>
    </w:rPr>
  </w:style>
  <w:style w:type="paragraph" w:styleId="Revision">
    <w:name w:val="Revision"/>
    <w:hidden/>
    <w:uiPriority w:val="99"/>
    <w:semiHidden/>
    <w:rsid w:val="0010676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5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rel@armsai.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mineconomy.am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LEGATION-ARMENIA@eeas.europ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52A7B21296A4085AB9FED90B997A5" ma:contentTypeVersion="1" ma:contentTypeDescription="Create a new document." ma:contentTypeScope="" ma:versionID="77e5fdfd10efc3e28c4bdf97554552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A824-9637-4F41-9ECE-DD72C22D83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DF94F5-55D3-4CA9-9B4E-363950D64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9673-ACCD-4CFE-9228-D1FB0823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E8E75-869B-4EDA-9413-DDC8DA67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https://mul.gov.am/tasks/docs/attachment.php?id=492226&amp;fn=3.Hamadzaynagir_ARM.docx&amp;out=1&amp;token=08a306904cc222b86db2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0x010100D6352A7B21296A4085AB9FED90B997A5</vt:lpwstr>
  </property>
</Properties>
</file>