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07" w:rsidRDefault="00942B07" w:rsidP="00FE2443">
      <w:pPr>
        <w:spacing w:line="360" w:lineRule="auto"/>
        <w:ind w:hanging="360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lang w:val="hy-AM"/>
        </w:rPr>
        <w:t>ՏԵՂԵԿԱՆՔ</w:t>
      </w:r>
    </w:p>
    <w:p w:rsidR="00942B07" w:rsidRDefault="00942B07" w:rsidP="00942B0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 xml:space="preserve">Եվրասիական տնտեսական միության և իր անդամ պետությունների՝ մի կողմից, և Չինաստանի Ժողովրդական Հանրապետության՝ մյուս կողմից, </w:t>
      </w:r>
      <w:proofErr w:type="spellStart"/>
      <w:r>
        <w:rPr>
          <w:rFonts w:ascii="GHEA Grapalat" w:eastAsia="Calibri" w:hAnsi="GHEA Grapalat"/>
          <w:b/>
          <w:lang w:val="hy-AM"/>
        </w:rPr>
        <w:t>միջև</w:t>
      </w:r>
      <w:proofErr w:type="spellEnd"/>
      <w:r>
        <w:rPr>
          <w:rFonts w:ascii="GHEA Grapalat" w:eastAsia="Calibri" w:hAnsi="GHEA Grapalat"/>
          <w:b/>
          <w:lang w:val="hy-AM"/>
        </w:rPr>
        <w:t xml:space="preserve"> տնտեսական և </w:t>
      </w:r>
      <w:proofErr w:type="spellStart"/>
      <w:r>
        <w:rPr>
          <w:rFonts w:ascii="GHEA Grapalat" w:eastAsia="Calibri" w:hAnsi="GHEA Grapalat"/>
          <w:b/>
          <w:lang w:val="hy-AM"/>
        </w:rPr>
        <w:t>առևտրային</w:t>
      </w:r>
      <w:proofErr w:type="spellEnd"/>
      <w:r>
        <w:rPr>
          <w:rFonts w:ascii="GHEA Grapalat" w:eastAsia="Calibri" w:hAnsi="GHEA Grapalat"/>
          <w:b/>
          <w:lang w:val="hy-AM"/>
        </w:rPr>
        <w:t xml:space="preserve"> համագործակցության մասին</w:t>
      </w:r>
      <w:r>
        <w:rPr>
          <w:rFonts w:ascii="GHEA Grapalat" w:hAnsi="GHEA Grapalat"/>
          <w:b/>
          <w:lang w:val="hy-AM"/>
        </w:rPr>
        <w:t xml:space="preserve"> համաձայնագրի վավերացման նպատակահարմարության</w:t>
      </w:r>
    </w:p>
    <w:p w:rsidR="00942B07" w:rsidRDefault="00942B07" w:rsidP="00942B07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942B07" w:rsidRDefault="00942B07" w:rsidP="00942B07">
      <w:pPr>
        <w:spacing w:line="360" w:lineRule="auto"/>
        <w:ind w:right="-31" w:firstLine="708"/>
        <w:jc w:val="both"/>
        <w:rPr>
          <w:rFonts w:ascii="GHEA Grapalat" w:eastAsia="Calibri" w:hAnsi="GHEA Grapalat"/>
          <w:lang w:val="hy-AM"/>
        </w:rPr>
      </w:pP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 xml:space="preserve">«Եվրասիական տնտեսական միության և իր անդամ պետությունների՝ մի կողմից, և Չինաստանի Ժողովրդական Հանրապետության՝ մյուս կողմից, </w:t>
      </w:r>
      <w:proofErr w:type="spellStart"/>
      <w:r>
        <w:rPr>
          <w:rFonts w:ascii="GHEA Grapalat" w:eastAsia="Calibri" w:hAnsi="GHEA Grapalat"/>
          <w:lang w:val="hy-AM"/>
        </w:rPr>
        <w:t>միջև</w:t>
      </w:r>
      <w:proofErr w:type="spellEnd"/>
      <w:r>
        <w:rPr>
          <w:rFonts w:ascii="GHEA Grapalat" w:eastAsia="Calibri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տնտեսական</w:t>
      </w:r>
      <w:r>
        <w:rPr>
          <w:rFonts w:ascii="GHEA Grapalat" w:eastAsia="Calibri" w:hAnsi="GHEA Grapalat"/>
          <w:lang w:val="hy-AM"/>
        </w:rPr>
        <w:t xml:space="preserve"> և </w:t>
      </w:r>
      <w:proofErr w:type="spellStart"/>
      <w:r>
        <w:rPr>
          <w:rFonts w:ascii="GHEA Grapalat" w:eastAsia="Calibri" w:hAnsi="GHEA Grapalat"/>
          <w:lang w:val="hy-AM"/>
        </w:rPr>
        <w:t>առևտրային</w:t>
      </w:r>
      <w:proofErr w:type="spellEnd"/>
      <w:r>
        <w:rPr>
          <w:rFonts w:ascii="GHEA Grapalat" w:eastAsia="Calibri" w:hAnsi="GHEA Grapalat"/>
          <w:lang w:val="hy-AM"/>
        </w:rPr>
        <w:t xml:space="preserve"> համագործակցության մասին» համաձայնագիրը (այսուհետ՝ Համաձայնագիր) ստորագրվել է 2018 մայիսի 17-ին </w:t>
      </w:r>
      <w:proofErr w:type="spellStart"/>
      <w:r>
        <w:rPr>
          <w:rFonts w:ascii="GHEA Grapalat" w:eastAsia="Calibri" w:hAnsi="GHEA Grapalat"/>
          <w:lang w:val="hy-AM"/>
        </w:rPr>
        <w:t>Աստանայի</w:t>
      </w:r>
      <w:proofErr w:type="spellEnd"/>
      <w:r>
        <w:rPr>
          <w:rFonts w:ascii="GHEA Grapalat" w:eastAsia="Calibri" w:hAnsi="GHEA Grapalat"/>
          <w:lang w:val="hy-AM"/>
        </w:rPr>
        <w:t xml:space="preserve"> տնտեսական համաժողովի շրջանակներում: Վերոհիշյալ Համաձայնագրի շուրջ բանակցություններն անցկացվել են Եվրասիական տնտեսական բարձրագույն խորհրդի 2015 թվականի մայիսի 8-ի որոշման հիման վրա: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 xml:space="preserve">Համաձայնագիրն ապահովում է պետական կարգավորման տարբեր ուղղություններով </w:t>
      </w:r>
      <w:proofErr w:type="spellStart"/>
      <w:r>
        <w:rPr>
          <w:rFonts w:ascii="GHEA Grapalat" w:eastAsia="Calibri" w:hAnsi="GHEA Grapalat"/>
          <w:lang w:val="hy-AM"/>
        </w:rPr>
        <w:t>փոխգործակցության</w:t>
      </w:r>
      <w:proofErr w:type="spellEnd"/>
      <w:r>
        <w:rPr>
          <w:rFonts w:ascii="GHEA Grapalat" w:eastAsia="Calibri" w:hAnsi="GHEA Grapalat"/>
          <w:lang w:val="hy-AM"/>
        </w:rPr>
        <w:t xml:space="preserve"> այնպիսի մեխանիզմներ, որոնք թույլ են տալիս </w:t>
      </w:r>
      <w:r>
        <w:rPr>
          <w:rFonts w:ascii="GHEA Grapalat" w:hAnsi="GHEA Grapalat"/>
          <w:lang w:val="hy-AM"/>
        </w:rPr>
        <w:t>առավելագույնս</w:t>
      </w:r>
      <w:r>
        <w:rPr>
          <w:rFonts w:ascii="GHEA Grapalat" w:eastAsia="Calibri" w:hAnsi="GHEA Grapalat"/>
          <w:lang w:val="hy-AM"/>
        </w:rPr>
        <w:t xml:space="preserve"> հաշվի առնել Եվրասիական տնտեսական միության (այսուհետ՝ ԵԱՏՄ) ընդհանուր և յուրաքանչյուր անդամ պետության առանձին շահերը, ինչպես նաև՝ գործարարության շահերը, կարգավորման </w:t>
      </w:r>
      <w:proofErr w:type="spellStart"/>
      <w:r>
        <w:rPr>
          <w:rFonts w:ascii="GHEA Grapalat" w:eastAsia="Calibri" w:hAnsi="GHEA Grapalat"/>
          <w:lang w:val="hy-AM"/>
        </w:rPr>
        <w:t>թափանցիկությունն</w:t>
      </w:r>
      <w:proofErr w:type="spellEnd"/>
      <w:r>
        <w:rPr>
          <w:rFonts w:ascii="GHEA Grapalat" w:eastAsia="Calibri" w:hAnsi="GHEA Grapalat"/>
          <w:lang w:val="hy-AM"/>
        </w:rPr>
        <w:t xml:space="preserve"> ու կանխատեսելիությունը ազգային և վերազգային մակարդակներում: Համաձայնագիրը կրում է ոչ արտոնյալ բնույթ և մաքսատուրքերի նվազեցում չի ենթադրում: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Համաձայնագրով նախատեսվում են այնպիսի բաժիններ, ինչպիսիք են` «Թափանցիկությունը», «Առևտրի պաշտպանական միջոցները», «Առևտրի տեխնիկական խոչընդոտները», «Սանիտարական և </w:t>
      </w:r>
      <w:proofErr w:type="spellStart"/>
      <w:r>
        <w:rPr>
          <w:rFonts w:ascii="GHEA Grapalat" w:hAnsi="GHEA Grapalat"/>
          <w:lang w:val="hy-AM"/>
        </w:rPr>
        <w:t>բուսասանիտարական</w:t>
      </w:r>
      <w:proofErr w:type="spellEnd"/>
      <w:r>
        <w:rPr>
          <w:rFonts w:ascii="GHEA Grapalat" w:hAnsi="GHEA Grapalat"/>
          <w:lang w:val="hy-AM"/>
        </w:rPr>
        <w:t xml:space="preserve"> միջոցառումները», «Մաքսային համագործակցությունը և առևտրի </w:t>
      </w:r>
      <w:proofErr w:type="spellStart"/>
      <w:r>
        <w:rPr>
          <w:rFonts w:ascii="GHEA Grapalat" w:hAnsi="GHEA Grapalat"/>
          <w:lang w:val="hy-AM"/>
        </w:rPr>
        <w:t>դյուրացումը</w:t>
      </w:r>
      <w:proofErr w:type="spellEnd"/>
      <w:r>
        <w:rPr>
          <w:rFonts w:ascii="GHEA Grapalat" w:hAnsi="GHEA Grapalat"/>
          <w:lang w:val="hy-AM"/>
        </w:rPr>
        <w:t xml:space="preserve">», «Մտավոր սեփականության իրավունքները», «Մրցակցությունը», «Պետական գնումները», «Ոլորտային համագործակցությունը», «Էլեկտրոնային </w:t>
      </w:r>
      <w:proofErr w:type="spellStart"/>
      <w:r>
        <w:rPr>
          <w:rFonts w:ascii="GHEA Grapalat" w:hAnsi="GHEA Grapalat"/>
          <w:lang w:val="hy-AM"/>
        </w:rPr>
        <w:t>առևտուրը</w:t>
      </w:r>
      <w:proofErr w:type="spellEnd"/>
      <w:r>
        <w:rPr>
          <w:rFonts w:ascii="GHEA Grapalat" w:hAnsi="GHEA Grapalat"/>
          <w:lang w:val="hy-AM"/>
        </w:rPr>
        <w:t>»: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«Ընդհանուր դրույթներ»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b/>
          <w:lang w:val="hy-AM"/>
        </w:rPr>
        <w:t>«Եզրափակիչ դրույթներ»</w:t>
      </w:r>
      <w:r>
        <w:rPr>
          <w:rFonts w:ascii="GHEA Grapalat" w:hAnsi="GHEA Grapalat"/>
          <w:lang w:val="hy-AM"/>
        </w:rPr>
        <w:t xml:space="preserve"> և </w:t>
      </w:r>
      <w:r>
        <w:rPr>
          <w:rFonts w:ascii="GHEA Grapalat" w:hAnsi="GHEA Grapalat"/>
          <w:b/>
          <w:lang w:val="hy-AM"/>
        </w:rPr>
        <w:t>«Ինստիտուցիոնալ դրույթներ»</w:t>
      </w:r>
      <w:r>
        <w:rPr>
          <w:rFonts w:ascii="GHEA Grapalat" w:hAnsi="GHEA Grapalat"/>
          <w:lang w:val="hy-AM"/>
        </w:rPr>
        <w:t xml:space="preserve"> բաժինների շրջանակներում`</w:t>
      </w:r>
    </w:p>
    <w:p w:rsidR="00942B07" w:rsidRDefault="00942B07" w:rsidP="00942B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նախատեսվել է Կողմերի համագործակցության ինստիտուցիոնալ մեխանիզմը,</w:t>
      </w:r>
    </w:p>
    <w:p w:rsidR="00942B07" w:rsidRDefault="00942B07" w:rsidP="00942B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սահմանվել է Եվրասիական տնտեսական միության և Չինաստանի Ժողովրդական Հանրապետության (այսուհետ՝ ՉԺՀ)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առևտրի իրավական ռեժիմը,</w:t>
      </w:r>
    </w:p>
    <w:p w:rsidR="00942B07" w:rsidRDefault="00942B07" w:rsidP="00942B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սահմանվել են Համաձայնագրի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կիրարկումն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ապահովող ընդհանուր հասկացությունները և իրավական բնույթի դրույթները,</w:t>
      </w:r>
    </w:p>
    <w:p w:rsidR="00942B07" w:rsidRDefault="00942B07" w:rsidP="00942B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նախատեսվել են ԱՀԿ նորմերի, Եվրասիական տնտեսական միության անդամ պետությունների և Չինաստանի նախկինում կնքված երկկողմ համաձայնագրերի պահպանման իրավական երաշխիքները: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«Թափանցիկությունը»</w:t>
      </w:r>
      <w:r>
        <w:rPr>
          <w:rFonts w:ascii="GHEA Grapalat" w:hAnsi="GHEA Grapalat"/>
          <w:lang w:val="hy-AM"/>
        </w:rPr>
        <w:t xml:space="preserve"> բաժնի շրջանակներում անդրադարձ է կատարվել առևտրի վրա ազդող միջոցների բաց աղբյուրներում հրապարակմանը: Ստեղծվել է Համաձայնագրի </w:t>
      </w:r>
      <w:proofErr w:type="spellStart"/>
      <w:r>
        <w:rPr>
          <w:rFonts w:ascii="GHEA Grapalat" w:hAnsi="GHEA Grapalat"/>
          <w:lang w:val="hy-AM"/>
        </w:rPr>
        <w:t>կիրարկման</w:t>
      </w:r>
      <w:proofErr w:type="spellEnd"/>
      <w:r>
        <w:rPr>
          <w:rFonts w:ascii="GHEA Grapalat" w:hAnsi="GHEA Grapalat"/>
          <w:lang w:val="hy-AM"/>
        </w:rPr>
        <w:t xml:space="preserve"> վրա ազդող ցանկացած միջոցի վերաբերյալ Կողմերից մեկի պահանջով տեղեկատվության պարտադիր տրամադրման մեխանիզմ: 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«Առևտրի պաշտպանական միջոցները»</w:t>
      </w:r>
      <w:r>
        <w:rPr>
          <w:rFonts w:ascii="GHEA Grapalat" w:hAnsi="GHEA Grapalat"/>
          <w:lang w:val="hy-AM"/>
        </w:rPr>
        <w:t xml:space="preserve"> բաժինն ապահովում է ԱՀԿ նորմերին համապատասխան </w:t>
      </w:r>
      <w:proofErr w:type="spellStart"/>
      <w:r>
        <w:rPr>
          <w:rFonts w:ascii="GHEA Grapalat" w:hAnsi="GHEA Grapalat"/>
          <w:lang w:val="hy-AM"/>
        </w:rPr>
        <w:t>հակագնագցման</w:t>
      </w:r>
      <w:proofErr w:type="spellEnd"/>
      <w:r>
        <w:rPr>
          <w:rFonts w:ascii="GHEA Grapalat" w:hAnsi="GHEA Grapalat"/>
          <w:lang w:val="hy-AM"/>
        </w:rPr>
        <w:t xml:space="preserve">, փոխհատուցման և հատուկ պաշտպանական միջոցների կիրառումը: Բացի դրանից, նախատեսվել է առևտրի պաշտպանության միջոցների բնագավառում ԵԱՏՄ և ՉԺՀ համագործակցության ընդլայնումը, ինչը թույլ կտա ավելի արդյունավետ պաշտպանել ԵԱՏՄ անդամ պետությունների </w:t>
      </w:r>
      <w:proofErr w:type="spellStart"/>
      <w:r>
        <w:rPr>
          <w:rFonts w:ascii="GHEA Grapalat" w:hAnsi="GHEA Grapalat"/>
          <w:lang w:val="hy-AM"/>
        </w:rPr>
        <w:t>արտահանողների</w:t>
      </w:r>
      <w:proofErr w:type="spellEnd"/>
      <w:r>
        <w:rPr>
          <w:rFonts w:ascii="GHEA Grapalat" w:hAnsi="GHEA Grapalat"/>
          <w:lang w:val="hy-AM"/>
        </w:rPr>
        <w:t xml:space="preserve"> շահերը` թափանցիկության բարձրացման և Չինաստանում հետաքննությունների անցկացման մեթոդաբանական առանձնահատկությունների ուսումնասիրության միջոցով: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 «Մաքսային համագործակցությունը և առևտրի </w:t>
      </w:r>
      <w:proofErr w:type="spellStart"/>
      <w:r>
        <w:rPr>
          <w:rFonts w:ascii="GHEA Grapalat" w:hAnsi="GHEA Grapalat"/>
          <w:b/>
          <w:lang w:val="hy-AM"/>
        </w:rPr>
        <w:t>դյուրացումը</w:t>
      </w:r>
      <w:proofErr w:type="spellEnd"/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lang w:val="hy-AM"/>
        </w:rPr>
        <w:t xml:space="preserve"> բաժինը մշակվել է ԱՀԿ համաձայնագրերի դրույթների և նորմերի, առաջին հերթին` առևտրի </w:t>
      </w:r>
      <w:proofErr w:type="spellStart"/>
      <w:r>
        <w:rPr>
          <w:rFonts w:ascii="GHEA Grapalat" w:hAnsi="GHEA Grapalat"/>
          <w:lang w:val="hy-AM"/>
        </w:rPr>
        <w:t>դյուրացման</w:t>
      </w:r>
      <w:proofErr w:type="spellEnd"/>
      <w:r>
        <w:rPr>
          <w:rFonts w:ascii="GHEA Grapalat" w:hAnsi="GHEA Grapalat"/>
          <w:lang w:val="hy-AM"/>
        </w:rPr>
        <w:t xml:space="preserve"> ընթացակարգերի մասին Համաձայնագրի հիման վրա: Նախատեսվում է </w:t>
      </w:r>
      <w:r>
        <w:rPr>
          <w:rFonts w:ascii="GHEA Grapalat" w:hAnsi="GHEA Grapalat"/>
          <w:lang w:val="hy-AM"/>
        </w:rPr>
        <w:lastRenderedPageBreak/>
        <w:t xml:space="preserve">ստեղծել փոխադարձ </w:t>
      </w:r>
      <w:proofErr w:type="spellStart"/>
      <w:r>
        <w:rPr>
          <w:rFonts w:ascii="GHEA Grapalat" w:hAnsi="GHEA Grapalat"/>
          <w:lang w:val="hy-AM"/>
        </w:rPr>
        <w:t>առևտրում</w:t>
      </w:r>
      <w:proofErr w:type="spellEnd"/>
      <w:r>
        <w:rPr>
          <w:rFonts w:ascii="GHEA Grapalat" w:hAnsi="GHEA Grapalat"/>
          <w:lang w:val="hy-AM"/>
        </w:rPr>
        <w:t xml:space="preserve"> գործարար շրջանակների համագործակցությանն ուղղված մեխանիզմներ (տեղեկատվական կենտրոնների ստեղծում, նախնական որոշումների ընդունում և այլն):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Վերոնշյալ բաժինը սահմանում է ԵԱՏՄ անդամ պետությունների և ՉԺՀ-ի մաքսային մարմինների համագործակցության ուղղությունները` նախատեսելով նշվածի երկաստիճան </w:t>
      </w:r>
      <w:proofErr w:type="spellStart"/>
      <w:r>
        <w:rPr>
          <w:rFonts w:ascii="GHEA Grapalat" w:hAnsi="GHEA Grapalat"/>
          <w:lang w:val="hy-AM"/>
        </w:rPr>
        <w:t>ձևաչափը</w:t>
      </w:r>
      <w:proofErr w:type="spellEnd"/>
      <w:r>
        <w:rPr>
          <w:rFonts w:ascii="GHEA Grapalat" w:hAnsi="GHEA Grapalat"/>
          <w:lang w:val="hy-AM"/>
        </w:rPr>
        <w:t xml:space="preserve">` մշտական` կոնտակտային անձանց </w:t>
      </w:r>
      <w:proofErr w:type="spellStart"/>
      <w:r>
        <w:rPr>
          <w:rFonts w:ascii="GHEA Grapalat" w:hAnsi="GHEA Grapalat"/>
          <w:lang w:val="hy-AM"/>
        </w:rPr>
        <w:t>ինտիտուտի</w:t>
      </w:r>
      <w:proofErr w:type="spellEnd"/>
      <w:r>
        <w:rPr>
          <w:rFonts w:ascii="GHEA Grapalat" w:hAnsi="GHEA Grapalat"/>
          <w:lang w:val="hy-AM"/>
        </w:rPr>
        <w:t xml:space="preserve"> և պարբերական` մաքսային համագործակցության </w:t>
      </w:r>
      <w:proofErr w:type="spellStart"/>
      <w:r>
        <w:rPr>
          <w:rFonts w:ascii="GHEA Grapalat" w:hAnsi="GHEA Grapalat"/>
          <w:lang w:val="hy-AM"/>
        </w:rPr>
        <w:t>ենթակոմիտեի</w:t>
      </w:r>
      <w:proofErr w:type="spellEnd"/>
      <w:r>
        <w:rPr>
          <w:rFonts w:ascii="GHEA Grapalat" w:hAnsi="GHEA Grapalat"/>
          <w:lang w:val="hy-AM"/>
        </w:rPr>
        <w:t xml:space="preserve"> միջոցով: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«Մրցակցությունը»</w:t>
      </w:r>
      <w:r>
        <w:rPr>
          <w:rFonts w:ascii="GHEA Grapalat" w:hAnsi="GHEA Grapalat"/>
          <w:lang w:val="hy-AM"/>
        </w:rPr>
        <w:t xml:space="preserve"> բաժնի շրջանակներում սահմանվում է </w:t>
      </w:r>
      <w:proofErr w:type="spellStart"/>
      <w:r>
        <w:rPr>
          <w:rFonts w:ascii="GHEA Grapalat" w:hAnsi="GHEA Grapalat"/>
          <w:lang w:val="hy-AM"/>
        </w:rPr>
        <w:t>հակամրցակցային</w:t>
      </w:r>
      <w:proofErr w:type="spellEnd"/>
      <w:r>
        <w:rPr>
          <w:rFonts w:ascii="GHEA Grapalat" w:hAnsi="GHEA Grapalat"/>
          <w:lang w:val="hy-AM"/>
        </w:rPr>
        <w:t xml:space="preserve"> գործողությունների դեմ պայքարի անհրաժեշտությունը և դրա տեսակները: Նախատեսվում է հատուկ մեխանիզմների հիման վրա ՉԺՀ իրավասու մարմինների հետ համագործակցության ընդլայնումը: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«Պետական գնումները»</w:t>
      </w:r>
      <w:r>
        <w:rPr>
          <w:rFonts w:ascii="GHEA Grapalat" w:hAnsi="GHEA Grapalat"/>
          <w:lang w:val="hy-AM"/>
        </w:rPr>
        <w:t xml:space="preserve"> բաժնի մեջ ներառվել են գնումների (այդ թվում` </w:t>
      </w:r>
      <w:proofErr w:type="spellStart"/>
      <w:r>
        <w:rPr>
          <w:rFonts w:ascii="GHEA Grapalat" w:hAnsi="GHEA Grapalat"/>
          <w:lang w:val="hy-AM"/>
        </w:rPr>
        <w:t>Համացանցում</w:t>
      </w:r>
      <w:proofErr w:type="spellEnd"/>
      <w:r>
        <w:rPr>
          <w:rFonts w:ascii="GHEA Grapalat" w:hAnsi="GHEA Grapalat"/>
          <w:lang w:val="hy-AM"/>
        </w:rPr>
        <w:t xml:space="preserve"> իրականացվող) իրականացման թափանցիկության մակարդակի բարձրացմանն ուղղված դրույթներ: Նախատեսվում է նաև էլեկտրոնային գնումների ոլորտում տեղեկատվության և փորձի  փոխանակում: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«Էլեկտրոնային </w:t>
      </w:r>
      <w:proofErr w:type="spellStart"/>
      <w:r>
        <w:rPr>
          <w:rFonts w:ascii="GHEA Grapalat" w:hAnsi="GHEA Grapalat"/>
          <w:b/>
          <w:lang w:val="hy-AM"/>
        </w:rPr>
        <w:t>առևտուրը</w:t>
      </w:r>
      <w:proofErr w:type="spellEnd"/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lang w:val="hy-AM"/>
        </w:rPr>
        <w:t xml:space="preserve"> բաժնում ամրագրվել են էլեկտրոնային առևտրի ոլորտում սպառողների շահերի և անձնական տվյալների պաշտպանության դրույթներ, ինչպես նաև հիմք է դրվել էլեկտրոնային փաստաթղթերի և էլեկտրոնային վավերացման մեթոդների </w:t>
      </w:r>
      <w:proofErr w:type="spellStart"/>
      <w:r>
        <w:rPr>
          <w:rFonts w:ascii="GHEA Grapalat" w:hAnsi="GHEA Grapalat"/>
          <w:lang w:val="hy-AM"/>
        </w:rPr>
        <w:t>փոխճանաչման</w:t>
      </w:r>
      <w:proofErr w:type="spellEnd"/>
      <w:r>
        <w:rPr>
          <w:rFonts w:ascii="GHEA Grapalat" w:hAnsi="GHEA Grapalat"/>
          <w:lang w:val="hy-AM"/>
        </w:rPr>
        <w:t xml:space="preserve"> օգտագործման ընդլայնման համար: 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«Մտավոր սեփականության իրավունքները»</w:t>
      </w:r>
      <w:r>
        <w:rPr>
          <w:rFonts w:ascii="GHEA Grapalat" w:hAnsi="GHEA Grapalat"/>
          <w:lang w:val="hy-AM"/>
        </w:rPr>
        <w:t xml:space="preserve"> բաժինը ներառում է ինչպես մտավոր սեփականության իրավունքի պաշտպանության և պահպանման ընդհանուր կանոններին, այնպես էլ դրա առանձին օբյեկտներին վերաբերող առանձին հարցերի մասով դրույթներ: Ամրագրվել են Կողմերի պարտավորությունները մտավոր սեփականության օբյեկտների գրանցման համար անհրաժեշտ փաստաթղթերի </w:t>
      </w:r>
      <w:proofErr w:type="spellStart"/>
      <w:r>
        <w:rPr>
          <w:rFonts w:ascii="GHEA Grapalat" w:hAnsi="GHEA Grapalat"/>
          <w:lang w:val="hy-AM"/>
        </w:rPr>
        <w:t>հասանելիության</w:t>
      </w:r>
      <w:proofErr w:type="spellEnd"/>
      <w:r>
        <w:rPr>
          <w:rFonts w:ascii="GHEA Grapalat" w:hAnsi="GHEA Grapalat"/>
          <w:lang w:val="hy-AM"/>
        </w:rPr>
        <w:t xml:space="preserve"> վերաբերյալ: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«Առևտրի տեխնիկական խոչընդոտները»</w:t>
      </w:r>
      <w:r>
        <w:rPr>
          <w:rFonts w:ascii="GHEA Grapalat" w:hAnsi="GHEA Grapalat"/>
          <w:lang w:val="hy-AM"/>
        </w:rPr>
        <w:t xml:space="preserve"> բաժնում ներկայացված են ստանդարտների, տեխնիկական </w:t>
      </w:r>
      <w:proofErr w:type="spellStart"/>
      <w:r>
        <w:rPr>
          <w:rFonts w:ascii="GHEA Grapalat" w:hAnsi="GHEA Grapalat"/>
          <w:lang w:val="hy-AM"/>
        </w:rPr>
        <w:t>կանոնակարգերի</w:t>
      </w:r>
      <w:proofErr w:type="spellEnd"/>
      <w:r>
        <w:rPr>
          <w:rFonts w:ascii="GHEA Grapalat" w:hAnsi="GHEA Grapalat"/>
          <w:lang w:val="hy-AM"/>
        </w:rPr>
        <w:t xml:space="preserve"> և համապատասխանության </w:t>
      </w:r>
      <w:r>
        <w:rPr>
          <w:rFonts w:ascii="GHEA Grapalat" w:hAnsi="GHEA Grapalat"/>
          <w:lang w:val="hy-AM"/>
        </w:rPr>
        <w:lastRenderedPageBreak/>
        <w:t xml:space="preserve">գնահատման ընթացակարգերի մշակման և կիրառման գործընթացների թափանցիկությունը բարձրացնող դրույթներ: Վերոնշյալ բաժնում նախատեսված է նաև համագործակցության մեխանիզմը` ներառյալ G2B (պետություն-մասնավոր հատված) </w:t>
      </w:r>
      <w:proofErr w:type="spellStart"/>
      <w:r>
        <w:rPr>
          <w:rFonts w:ascii="GHEA Grapalat" w:hAnsi="GHEA Grapalat"/>
          <w:lang w:val="hy-AM"/>
        </w:rPr>
        <w:t>ձևաչափը</w:t>
      </w:r>
      <w:proofErr w:type="spellEnd"/>
      <w:r>
        <w:rPr>
          <w:rFonts w:ascii="GHEA Grapalat" w:hAnsi="GHEA Grapalat"/>
          <w:lang w:val="hy-AM"/>
        </w:rPr>
        <w:t xml:space="preserve">: Ամրագրված են տեխնիկական կանոնակարգման միջոցների կիրառման ընդհանուր սկզբունքները և կանոնները: Նախատեսված են նաև հետագայում Եվրասիական տնտեսական միության և Չինաստանի Ժողովրդական Հանրապետության </w:t>
      </w:r>
      <w:proofErr w:type="spellStart"/>
      <w:r>
        <w:rPr>
          <w:rFonts w:ascii="GHEA Grapalat" w:hAnsi="GHEA Grapalat"/>
          <w:lang w:val="hy-AM"/>
        </w:rPr>
        <w:t>միջև</w:t>
      </w:r>
      <w:proofErr w:type="spellEnd"/>
      <w:r>
        <w:rPr>
          <w:rFonts w:ascii="GHEA Grapalat" w:hAnsi="GHEA Grapalat"/>
          <w:lang w:val="hy-AM"/>
        </w:rPr>
        <w:t xml:space="preserve"> առևտրի տեխնիկական խոչընդոտների վերացմանն ուղղված ոլորտային համաձայնագրերի կնքման դրույթներ: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«Սանիտարական և </w:t>
      </w:r>
      <w:proofErr w:type="spellStart"/>
      <w:r>
        <w:rPr>
          <w:rFonts w:ascii="GHEA Grapalat" w:hAnsi="GHEA Grapalat"/>
          <w:b/>
          <w:lang w:val="hy-AM"/>
        </w:rPr>
        <w:t>բուսասանիտարական</w:t>
      </w:r>
      <w:proofErr w:type="spellEnd"/>
      <w:r>
        <w:rPr>
          <w:rFonts w:ascii="GHEA Grapalat" w:hAnsi="GHEA Grapalat"/>
          <w:b/>
          <w:lang w:val="hy-AM"/>
        </w:rPr>
        <w:t xml:space="preserve"> միջոցառումները»</w:t>
      </w:r>
      <w:r>
        <w:rPr>
          <w:rFonts w:ascii="GHEA Grapalat" w:hAnsi="GHEA Grapalat"/>
          <w:lang w:val="hy-AM"/>
        </w:rPr>
        <w:t xml:space="preserve"> բաժինը հիմնված է ԱՀԿ սանիտարական և </w:t>
      </w:r>
      <w:proofErr w:type="spellStart"/>
      <w:r>
        <w:rPr>
          <w:rFonts w:ascii="GHEA Grapalat" w:hAnsi="GHEA Grapalat"/>
          <w:lang w:val="hy-AM"/>
        </w:rPr>
        <w:t>բուսասանիտարական</w:t>
      </w:r>
      <w:proofErr w:type="spellEnd"/>
      <w:r>
        <w:rPr>
          <w:rFonts w:ascii="GHEA Grapalat" w:hAnsi="GHEA Grapalat"/>
          <w:lang w:val="hy-AM"/>
        </w:rPr>
        <w:t xml:space="preserve"> միջոցառումների վերաբերյալ Համաձայնագրի դրույթների վրա: Բաժնում ամրագրված են սանիտարական և </w:t>
      </w:r>
      <w:proofErr w:type="spellStart"/>
      <w:r>
        <w:rPr>
          <w:rFonts w:ascii="GHEA Grapalat" w:hAnsi="GHEA Grapalat"/>
          <w:lang w:val="hy-AM"/>
        </w:rPr>
        <w:t>բուսասանիտարական</w:t>
      </w:r>
      <w:proofErr w:type="spellEnd"/>
      <w:r>
        <w:rPr>
          <w:rFonts w:ascii="GHEA Grapalat" w:hAnsi="GHEA Grapalat"/>
          <w:lang w:val="hy-AM"/>
        </w:rPr>
        <w:t xml:space="preserve"> միջոցառումների կիրառման դեպքում թափանցիկության ապահովման վերաբերյալ համաձայնության </w:t>
      </w:r>
      <w:proofErr w:type="spellStart"/>
      <w:r>
        <w:rPr>
          <w:rFonts w:ascii="GHEA Grapalat" w:hAnsi="GHEA Grapalat"/>
          <w:lang w:val="hy-AM"/>
        </w:rPr>
        <w:t>ամրագրման</w:t>
      </w:r>
      <w:proofErr w:type="spellEnd"/>
      <w:r>
        <w:rPr>
          <w:rFonts w:ascii="GHEA Grapalat" w:hAnsi="GHEA Grapalat"/>
          <w:lang w:val="hy-AM"/>
        </w:rPr>
        <w:t xml:space="preserve"> դրույթներ: </w:t>
      </w:r>
      <w:proofErr w:type="spellStart"/>
      <w:r>
        <w:rPr>
          <w:rFonts w:ascii="GHEA Grapalat" w:hAnsi="GHEA Grapalat"/>
          <w:lang w:val="hy-AM"/>
        </w:rPr>
        <w:t>Առևտրում</w:t>
      </w:r>
      <w:proofErr w:type="spellEnd"/>
      <w:r>
        <w:rPr>
          <w:rFonts w:ascii="GHEA Grapalat" w:hAnsi="GHEA Grapalat"/>
          <w:lang w:val="hy-AM"/>
        </w:rPr>
        <w:t xml:space="preserve"> կիրառվող գաղտնի սահմանափակումների ուղղությամբ աշխատանքների շրջանակներում Համաձայնագրում ներառվել է Կողմերի կողմից կիրառվող միջոցների մասով տեխնիկական խորհրդատվությունների անցկացման մեխանիզմ: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«Ոլորտային համագործակցությունը»</w:t>
      </w:r>
      <w:r>
        <w:rPr>
          <w:rFonts w:ascii="GHEA Grapalat" w:hAnsi="GHEA Grapalat"/>
          <w:lang w:val="hy-AM"/>
        </w:rPr>
        <w:t xml:space="preserve"> բաժնի շրջանակներում սահմանվել են ինչպես ԵԱՏՄ և ՉԺՀ համագործակցության խորացման «գլոբալ» ոլորտները (գյուղատնտեսություն, էներգետիկա, տրանսպորտ, արդյունաբերական կոոպերացիա, տեխնոլոգիաներ և </w:t>
      </w:r>
      <w:proofErr w:type="spellStart"/>
      <w:r>
        <w:rPr>
          <w:rFonts w:ascii="GHEA Grapalat" w:hAnsi="GHEA Grapalat"/>
          <w:lang w:val="hy-AM"/>
        </w:rPr>
        <w:t>նորամուծություններ</w:t>
      </w:r>
      <w:proofErr w:type="spellEnd"/>
      <w:r>
        <w:rPr>
          <w:rFonts w:ascii="GHEA Grapalat" w:hAnsi="GHEA Grapalat"/>
          <w:lang w:val="hy-AM"/>
        </w:rPr>
        <w:t>, տեղեկատվական և հաղորդակցական ենթակառուցվածքներ, ֆինանսներ և շրջակա միջավայր), այնպես էլ համագործակցության առավել հստակ ոլորտները և ուղղությունները: Ամրագրվել են նաև ընդհանուր շահերից բխող համատեղ նախագծերի իրականացման նպատակով ֆինանսական ինստիտուտների ռեսուրսների ներգրավման դրույթներ: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Վերոնշյալ բաժնում նախատեսվել է նաև ոլորտային առանձին </w:t>
      </w:r>
      <w:proofErr w:type="spellStart"/>
      <w:r>
        <w:rPr>
          <w:rFonts w:ascii="GHEA Grapalat" w:hAnsi="GHEA Grapalat"/>
          <w:lang w:val="hy-AM"/>
        </w:rPr>
        <w:t>ենթակոմիտեների</w:t>
      </w:r>
      <w:proofErr w:type="spellEnd"/>
      <w:r>
        <w:rPr>
          <w:rFonts w:ascii="GHEA Grapalat" w:hAnsi="GHEA Grapalat"/>
          <w:lang w:val="hy-AM"/>
        </w:rPr>
        <w:t xml:space="preserve"> և աշխատանքային խմբերի ստեղծումը, որոնք պետք է մշակեն հետագա համագործակցության «ճանապարհային քարտեզներ»: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lastRenderedPageBreak/>
        <w:t xml:space="preserve">Համաձայնագրի վավերացումը կնպաստի </w:t>
      </w:r>
      <w:proofErr w:type="spellStart"/>
      <w:r>
        <w:rPr>
          <w:rFonts w:ascii="GHEA Grapalat" w:eastAsia="Calibri" w:hAnsi="GHEA Grapalat"/>
          <w:lang w:val="hy-AM"/>
        </w:rPr>
        <w:t>փոխգործակցության</w:t>
      </w:r>
      <w:proofErr w:type="spellEnd"/>
      <w:r>
        <w:rPr>
          <w:rFonts w:ascii="GHEA Grapalat" w:eastAsia="Calibri" w:hAnsi="GHEA Grapalat"/>
          <w:lang w:val="hy-AM"/>
        </w:rPr>
        <w:t xml:space="preserve"> խորացմանն ու ընդլայնմանը ԵԱՏՄ անդամ պետությունների և ՉԺՀ-ի </w:t>
      </w:r>
      <w:proofErr w:type="spellStart"/>
      <w:r>
        <w:rPr>
          <w:rFonts w:ascii="GHEA Grapalat" w:eastAsia="Calibri" w:hAnsi="GHEA Grapalat"/>
          <w:lang w:val="hy-AM"/>
        </w:rPr>
        <w:t>միջև</w:t>
      </w:r>
      <w:proofErr w:type="spellEnd"/>
      <w:r>
        <w:rPr>
          <w:rFonts w:ascii="GHEA Grapalat" w:eastAsia="Calibri" w:hAnsi="GHEA Grapalat"/>
          <w:lang w:val="hy-AM"/>
        </w:rPr>
        <w:t xml:space="preserve">, ինչպես նաև որոշ չափով կկապակցի ԵԱՏՄ անդամ պետությունների ու ՉԺՀ-ի նոր </w:t>
      </w:r>
      <w:proofErr w:type="spellStart"/>
      <w:r>
        <w:rPr>
          <w:rFonts w:ascii="GHEA Grapalat" w:eastAsia="Calibri" w:hAnsi="GHEA Grapalat"/>
          <w:lang w:val="hy-AM"/>
        </w:rPr>
        <w:t>կոոպերացիոն</w:t>
      </w:r>
      <w:proofErr w:type="spellEnd"/>
      <w:r>
        <w:rPr>
          <w:rFonts w:ascii="GHEA Grapalat" w:eastAsia="Calibri" w:hAnsi="GHEA Grapalat"/>
          <w:lang w:val="hy-AM"/>
        </w:rPr>
        <w:t xml:space="preserve"> նախագծերը և տեխնոլոգիաները: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hAnsi="GHEA Grapalat" w:cs="Tahoma"/>
          <w:spacing w:val="-2"/>
          <w:lang w:val="hy-AM"/>
        </w:rPr>
      </w:pPr>
      <w:r>
        <w:rPr>
          <w:rFonts w:ascii="GHEA Grapalat" w:hAnsi="GHEA Grapalat" w:cs="Tahoma"/>
          <w:spacing w:val="-2"/>
          <w:lang w:val="hy-AM"/>
        </w:rPr>
        <w:t xml:space="preserve">Ելնելով </w:t>
      </w:r>
      <w:proofErr w:type="spellStart"/>
      <w:r>
        <w:rPr>
          <w:rFonts w:ascii="GHEA Grapalat" w:hAnsi="GHEA Grapalat" w:cs="Tahoma"/>
          <w:spacing w:val="-2"/>
          <w:lang w:val="hy-AM"/>
        </w:rPr>
        <w:t>վերոգրյալից</w:t>
      </w:r>
      <w:proofErr w:type="spellEnd"/>
      <w:r>
        <w:rPr>
          <w:rFonts w:ascii="GHEA Grapalat" w:hAnsi="GHEA Grapalat" w:cs="Tahoma"/>
          <w:spacing w:val="-2"/>
          <w:lang w:val="hy-AM"/>
        </w:rPr>
        <w:t>` ՀՀ տնտեսական զարգացման և ներդրումների նախարարությունը նպատակահարմար է գտնում Համաձայնագրի վավերացումը:</w:t>
      </w:r>
    </w:p>
    <w:p w:rsidR="00942B07" w:rsidRDefault="00942B07" w:rsidP="00942B07">
      <w:pPr>
        <w:spacing w:line="360" w:lineRule="auto"/>
        <w:ind w:firstLine="720"/>
        <w:jc w:val="both"/>
        <w:rPr>
          <w:rFonts w:ascii="GHEA Grapalat" w:hAnsi="GHEA Grapalat" w:cs="Tahoma"/>
          <w:spacing w:val="-2"/>
          <w:lang w:val="hy-AM"/>
        </w:rPr>
      </w:pPr>
    </w:p>
    <w:p w:rsidR="00942B07" w:rsidRPr="00FE2443" w:rsidRDefault="00942B07" w:rsidP="00942B07">
      <w:pPr>
        <w:spacing w:line="360" w:lineRule="auto"/>
        <w:rPr>
          <w:rFonts w:ascii="GHEA Grapalat" w:hAnsi="GHEA Grapalat"/>
          <w:lang w:val="hy-AM"/>
        </w:rPr>
      </w:pPr>
    </w:p>
    <w:p w:rsidR="00942B07" w:rsidRDefault="00942B07" w:rsidP="00942B07">
      <w:pPr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ՏՆՏԵՍԱԿԱՆ ԶԱՐԳԱՑՄԱՆ </w:t>
      </w:r>
    </w:p>
    <w:p w:rsidR="00942B07" w:rsidRDefault="00942B07" w:rsidP="00942B07">
      <w:pPr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ԵՎ ՆԵՐԴՐՈՒՄՆԵՐԻ ՆԱԽԱՐԱՐ                                      ՏԻԳՐԱՆ ԽԱՉԱՏՐՅԱՆ</w:t>
      </w:r>
    </w:p>
    <w:p w:rsidR="00942B07" w:rsidRDefault="00942B07" w:rsidP="00942B07">
      <w:pPr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>ՊԱՇՏՈՆԱԿԱՏԱՐ</w:t>
      </w:r>
    </w:p>
    <w:p w:rsidR="00942B07" w:rsidRDefault="00942B07" w:rsidP="00942B07">
      <w:pPr>
        <w:rPr>
          <w:lang w:val="hy-AM"/>
        </w:rPr>
      </w:pPr>
    </w:p>
    <w:p w:rsidR="00703F9A" w:rsidRDefault="00703F9A"/>
    <w:sectPr w:rsidR="00703F9A" w:rsidSect="00FE2443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0D98"/>
    <w:multiLevelType w:val="hybridMultilevel"/>
    <w:tmpl w:val="504A7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10"/>
    <w:rsid w:val="006D1A10"/>
    <w:rsid w:val="00703F9A"/>
    <w:rsid w:val="00942B07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B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B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1018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https://mul.gov.am/tasks/docs/attachment.php?id=492493&amp;fn=TEXEKANQ.docx&amp;out=1&amp;token=4535a8ae3e7a0ff11d0d</cp:keywords>
</cp:coreProperties>
</file>