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95" w:rsidRPr="001E21A1" w:rsidRDefault="00F54D95" w:rsidP="00F54D95">
      <w:pPr>
        <w:jc w:val="center"/>
        <w:rPr>
          <w:rFonts w:ascii="GHEA Grapalat" w:eastAsia="Calibri" w:hAnsi="GHEA Grapalat" w:cs="Sylfaen"/>
          <w:b/>
          <w:lang w:val="hy-AM"/>
        </w:rPr>
      </w:pPr>
      <w:r w:rsidRPr="001E21A1">
        <w:rPr>
          <w:rFonts w:ascii="GHEA Grapalat" w:eastAsia="Calibri" w:hAnsi="GHEA Grapalat" w:cs="Sylfaen"/>
          <w:b/>
          <w:lang w:val="hy-AM"/>
        </w:rPr>
        <w:t xml:space="preserve">ԱՄՓՈՓԱԹԵՐԹ </w:t>
      </w:r>
    </w:p>
    <w:p w:rsidR="00F54D95" w:rsidRPr="001E21A1" w:rsidRDefault="00F54D95" w:rsidP="00F54D95">
      <w:pPr>
        <w:jc w:val="center"/>
        <w:rPr>
          <w:rFonts w:ascii="GHEA Grapalat" w:eastAsia="Calibri" w:hAnsi="GHEA Grapalat" w:cs="Sylfaen"/>
          <w:b/>
          <w:lang w:val="hy-AM"/>
        </w:rPr>
      </w:pPr>
    </w:p>
    <w:p w:rsidR="004A2792" w:rsidRPr="001E21A1" w:rsidRDefault="004A2792" w:rsidP="004A2792">
      <w:pPr>
        <w:ind w:firstLine="709"/>
        <w:jc w:val="center"/>
        <w:rPr>
          <w:rFonts w:ascii="GHEA Grapalat" w:hAnsi="GHEA Grapalat"/>
          <w:b/>
          <w:color w:val="000000"/>
          <w:lang w:val="hy-AM"/>
        </w:rPr>
      </w:pPr>
      <w:r w:rsidRPr="001E21A1">
        <w:rPr>
          <w:rFonts w:ascii="GHEA Grapalat" w:hAnsi="GHEA Grapalat"/>
          <w:b/>
          <w:color w:val="000000"/>
          <w:lang w:val="af-ZA"/>
        </w:rPr>
        <w:t>«</w:t>
      </w:r>
      <w:r w:rsidRPr="001E21A1">
        <w:rPr>
          <w:rFonts w:ascii="GHEA Grapalat" w:hAnsi="GHEA Grapalat"/>
          <w:b/>
          <w:color w:val="000000"/>
          <w:lang w:val="hy-AM"/>
        </w:rPr>
        <w:t>ՀԱՅԱՍՏԱՆԻ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ՀԱՆՐԱՊԵՏՈՒԹՅԱՆ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ՖԻՆԱՆՍՆԵՐԻ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ՆԱԽԱՐԱՐՈՒԹՅԱՆ</w:t>
      </w:r>
      <w:r w:rsidRPr="001E21A1">
        <w:rPr>
          <w:rFonts w:ascii="GHEA Grapalat" w:hAnsi="GHEA Grapalat"/>
          <w:b/>
          <w:color w:val="000000"/>
          <w:lang w:val="af-ZA"/>
        </w:rPr>
        <w:t xml:space="preserve"> «</w:t>
      </w:r>
      <w:r w:rsidRPr="001E21A1">
        <w:rPr>
          <w:rFonts w:ascii="GHEA Grapalat" w:hAnsi="GHEA Grapalat"/>
          <w:b/>
          <w:color w:val="000000"/>
          <w:lang w:val="hy-AM"/>
        </w:rPr>
        <w:t>ԱՐՏԱՍԱՀՄԱՆՅԱՆ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ՖԻՆԱՆՍԱԿԱՆ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ԾՐԱԳՐԵՐԻ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ԿԱՌԱՎԱՐՄԱՆ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ԿԵՆՏՐՈՆ</w:t>
      </w:r>
      <w:r w:rsidRPr="001E21A1">
        <w:rPr>
          <w:rFonts w:ascii="GHEA Grapalat" w:hAnsi="GHEA Grapalat"/>
          <w:b/>
          <w:color w:val="000000"/>
          <w:lang w:val="af-ZA"/>
        </w:rPr>
        <w:t xml:space="preserve">» </w:t>
      </w:r>
      <w:r w:rsidRPr="001E21A1">
        <w:rPr>
          <w:rFonts w:ascii="GHEA Grapalat" w:hAnsi="GHEA Grapalat"/>
          <w:b/>
          <w:color w:val="000000"/>
          <w:lang w:val="hy-AM"/>
        </w:rPr>
        <w:t>ՊԵՏԱԿԱՆ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ՀԻՄՆԱՐԿԻ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ԳՈՐԾՈՒՆԵՈՒԹՅՈՒՆԸ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ԴԱԴԱՐԵՑՆԵԼՈՒ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ԵՎ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ՀԱՅԱՍՏԱՆԻ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ՀԱՆՐԱՊԵՏՈՒԹՅԱՆ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ԿԱՌԱՎԱՐՈՒԹՅԱՆ</w:t>
      </w:r>
      <w:r w:rsidRPr="001E21A1">
        <w:rPr>
          <w:rFonts w:ascii="GHEA Grapalat" w:hAnsi="GHEA Grapalat"/>
          <w:b/>
          <w:color w:val="000000"/>
          <w:lang w:val="af-ZA"/>
        </w:rPr>
        <w:t xml:space="preserve"> 2011 </w:t>
      </w:r>
      <w:r w:rsidRPr="001E21A1">
        <w:rPr>
          <w:rFonts w:ascii="GHEA Grapalat" w:hAnsi="GHEA Grapalat"/>
          <w:b/>
          <w:color w:val="000000"/>
          <w:lang w:val="hy-AM"/>
        </w:rPr>
        <w:t>ԹՎԱԿԱՆԻ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ՄԱՅԻՍԻ</w:t>
      </w:r>
      <w:r w:rsidRPr="001E21A1">
        <w:rPr>
          <w:rFonts w:ascii="GHEA Grapalat" w:hAnsi="GHEA Grapalat"/>
          <w:b/>
          <w:color w:val="000000"/>
          <w:lang w:val="af-ZA"/>
        </w:rPr>
        <w:t xml:space="preserve"> 5-</w:t>
      </w:r>
      <w:r w:rsidRPr="001E21A1">
        <w:rPr>
          <w:rFonts w:ascii="GHEA Grapalat" w:hAnsi="GHEA Grapalat"/>
          <w:b/>
          <w:color w:val="000000"/>
          <w:lang w:val="hy-AM"/>
        </w:rPr>
        <w:t>Ի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ԹԻՎ</w:t>
      </w:r>
      <w:r w:rsidRPr="001E21A1">
        <w:rPr>
          <w:rFonts w:ascii="GHEA Grapalat" w:hAnsi="GHEA Grapalat"/>
          <w:b/>
          <w:color w:val="000000"/>
          <w:lang w:val="af-ZA"/>
        </w:rPr>
        <w:t xml:space="preserve"> 562-</w:t>
      </w:r>
      <w:r w:rsidRPr="001E21A1">
        <w:rPr>
          <w:rFonts w:ascii="GHEA Grapalat" w:hAnsi="GHEA Grapalat"/>
          <w:b/>
          <w:color w:val="000000"/>
          <w:lang w:val="hy-AM"/>
        </w:rPr>
        <w:t>Ն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ՈՐՈՇՈՒՄՆ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ՈՒԺԸ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ԿՈՐՑՐԱԾ</w:t>
      </w:r>
      <w:r w:rsidRPr="001E21A1">
        <w:rPr>
          <w:rFonts w:ascii="GHEA Grapalat" w:hAnsi="GHEA Grapalat"/>
          <w:b/>
          <w:color w:val="000000"/>
          <w:lang w:val="af-ZA"/>
        </w:rPr>
        <w:t xml:space="preserve"> </w:t>
      </w:r>
      <w:r w:rsidRPr="001E21A1">
        <w:rPr>
          <w:rFonts w:ascii="GHEA Grapalat" w:hAnsi="GHEA Grapalat"/>
          <w:b/>
          <w:color w:val="000000"/>
          <w:lang w:val="hy-AM"/>
        </w:rPr>
        <w:t>ՃԱՆԱՉԵԼՈՒ ՄԱՍԻՆ</w:t>
      </w:r>
      <w:r w:rsidRPr="001E21A1">
        <w:rPr>
          <w:rFonts w:ascii="GHEA Grapalat" w:hAnsi="GHEA Grapalat"/>
          <w:b/>
          <w:color w:val="000000"/>
          <w:lang w:val="af-ZA"/>
        </w:rPr>
        <w:t>»</w:t>
      </w:r>
      <w:r w:rsidRPr="001E21A1">
        <w:rPr>
          <w:rFonts w:ascii="GHEA Grapalat" w:hAnsi="GHEA Grapalat"/>
          <w:b/>
          <w:color w:val="000000"/>
          <w:lang w:val="hy-AM"/>
        </w:rPr>
        <w:t xml:space="preserve"> ԿԱՌԱՎԱՐՈՒԹՅԱՆ ՈՐՈՇՄԱՆ ՆԱԽԱԳԾԻ ՎԵՐԱԲԵՐՅԱԼ</w:t>
      </w:r>
    </w:p>
    <w:p w:rsidR="00B060EB" w:rsidRPr="001E21A1" w:rsidRDefault="00B060EB" w:rsidP="00B060EB">
      <w:pPr>
        <w:jc w:val="center"/>
        <w:rPr>
          <w:rFonts w:ascii="GHEA Grapalat" w:eastAsia="Calibri" w:hAnsi="GHEA Grapalat" w:cs="Sylfaen"/>
          <w:b/>
          <w:lang w:val="hy-AM"/>
        </w:rPr>
      </w:pPr>
    </w:p>
    <w:p w:rsidR="00B060EB" w:rsidRPr="001E21A1" w:rsidRDefault="00B060EB" w:rsidP="00F54D95">
      <w:pPr>
        <w:jc w:val="center"/>
        <w:rPr>
          <w:rFonts w:ascii="GHEA Grapalat" w:eastAsia="Calibri" w:hAnsi="GHEA Grapalat" w:cs="Sylfaen"/>
          <w:b/>
          <w:i/>
          <w:lang w:val="en-US"/>
        </w:rPr>
      </w:pPr>
    </w:p>
    <w:p w:rsidR="00B060EB" w:rsidRPr="001E21A1" w:rsidRDefault="00B060EB" w:rsidP="00F54D95">
      <w:pPr>
        <w:jc w:val="center"/>
        <w:rPr>
          <w:rFonts w:ascii="GHEA Grapalat" w:eastAsia="Calibri" w:hAnsi="GHEA Grapalat" w:cs="Sylfaen"/>
          <w:b/>
          <w:i/>
          <w:lang w:val="en-US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00"/>
        <w:gridCol w:w="3600"/>
        <w:gridCol w:w="2340"/>
      </w:tblGrid>
      <w:tr w:rsidR="00F54D95" w:rsidRPr="001E21A1" w:rsidTr="000943C6">
        <w:trPr>
          <w:trHeight w:val="2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5" w:rsidRPr="001E21A1" w:rsidRDefault="00F54D95" w:rsidP="008136F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1E21A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հեղինակը: Գրության ամսաթիվը, գրության համարը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5" w:rsidRPr="001E21A1" w:rsidRDefault="00F54D95" w:rsidP="008136F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1E21A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5" w:rsidRPr="001E21A1" w:rsidRDefault="00F54D95" w:rsidP="008136F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1E21A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5" w:rsidRPr="001E21A1" w:rsidRDefault="00F54D95" w:rsidP="008136F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</w:tc>
      </w:tr>
      <w:tr w:rsidR="00F54D95" w:rsidRPr="001E21A1" w:rsidTr="000943C6">
        <w:trPr>
          <w:trHeight w:val="2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7A" w:rsidRPr="001E21A1" w:rsidRDefault="00B4762F" w:rsidP="00143B2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E21A1">
              <w:rPr>
                <w:rFonts w:ascii="GHEA Grapalat" w:hAnsi="GHEA Grapalat"/>
                <w:spacing w:val="-6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1E21A1">
              <w:rPr>
                <w:rFonts w:ascii="GHEA Grapalat" w:hAnsi="GHEA Grapalat"/>
                <w:spacing w:val="-6"/>
                <w:sz w:val="20"/>
                <w:szCs w:val="20"/>
              </w:rPr>
              <w:t>վարչա</w:t>
            </w:r>
            <w:r w:rsidR="00143B21" w:rsidRPr="001E21A1">
              <w:rPr>
                <w:rFonts w:ascii="GHEA Grapalat" w:hAnsi="GHEA Grapalat"/>
                <w:spacing w:val="-6"/>
                <w:sz w:val="20"/>
                <w:szCs w:val="20"/>
              </w:rPr>
              <w:t>պետի</w:t>
            </w:r>
            <w:proofErr w:type="spellEnd"/>
            <w:r w:rsidR="00143B21" w:rsidRPr="001E21A1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143B21" w:rsidRPr="001E21A1">
              <w:rPr>
                <w:rFonts w:ascii="GHEA Grapalat" w:hAnsi="GHEA Grapalat"/>
                <w:spacing w:val="-6"/>
                <w:sz w:val="20"/>
                <w:szCs w:val="20"/>
              </w:rPr>
              <w:t>աշխատակազմի</w:t>
            </w:r>
            <w:proofErr w:type="spellEnd"/>
            <w:r w:rsidR="00143B21" w:rsidRPr="001E21A1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143B21" w:rsidRPr="001E21A1">
              <w:rPr>
                <w:rFonts w:ascii="GHEA Grapalat" w:hAnsi="GHEA Grapalat"/>
                <w:spacing w:val="-6"/>
                <w:sz w:val="20"/>
                <w:szCs w:val="20"/>
                <w:lang w:val="en-US"/>
              </w:rPr>
              <w:t>ֆինանսատնտեսագիտական</w:t>
            </w:r>
            <w:proofErr w:type="spellEnd"/>
            <w:r w:rsidR="00143B21" w:rsidRPr="001E21A1">
              <w:rPr>
                <w:rFonts w:ascii="GHEA Grapalat" w:hAnsi="GHEA Grapalat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43B21" w:rsidRPr="001E21A1">
              <w:rPr>
                <w:rFonts w:ascii="GHEA Grapalat" w:hAnsi="GHEA Grapalat"/>
                <w:spacing w:val="-6"/>
                <w:sz w:val="20"/>
                <w:szCs w:val="20"/>
                <w:lang w:val="en-US"/>
              </w:rPr>
              <w:t>վարչություն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5E" w:rsidRPr="001E21A1" w:rsidRDefault="00A8725E" w:rsidP="00A8725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0"/>
              <w:ind w:left="0" w:firstLine="357"/>
              <w:jc w:val="both"/>
              <w:rPr>
                <w:rFonts w:ascii="GHEA Grapalat" w:hAnsi="GHEA Grapalat"/>
                <w:color w:val="000000"/>
                <w:spacing w:val="-6"/>
              </w:rPr>
            </w:pPr>
            <w:proofErr w:type="spellStart"/>
            <w:r w:rsidRPr="001E21A1">
              <w:rPr>
                <w:rFonts w:ascii="GHEA Grapalat" w:hAnsi="GHEA Grapalat" w:cs="Sylfaen"/>
                <w:spacing w:val="-6"/>
              </w:rPr>
              <w:t>Ո</w:t>
            </w:r>
            <w:r w:rsidRPr="001E21A1">
              <w:rPr>
                <w:rFonts w:ascii="GHEA Grapalat" w:hAnsi="GHEA Grapalat"/>
                <w:spacing w:val="-6"/>
              </w:rPr>
              <w:t>րոշման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նախագծի</w:t>
            </w:r>
            <w:proofErr w:type="spellEnd"/>
            <w:r w:rsidR="000943C6" w:rsidRPr="001E21A1">
              <w:rPr>
                <w:rFonts w:ascii="GHEA Grapalat" w:hAnsi="GHEA Grapalat"/>
                <w:spacing w:val="-6"/>
              </w:rPr>
              <w:t xml:space="preserve"> </w:t>
            </w:r>
            <w:r w:rsidRPr="001E21A1">
              <w:rPr>
                <w:rFonts w:ascii="GHEA Grapalat" w:hAnsi="GHEA Grapalat"/>
                <w:spacing w:val="-6"/>
              </w:rPr>
              <w:t xml:space="preserve">2-րդ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կետով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սահմանվում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է,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</w:t>
            </w:r>
            <w:r w:rsidRPr="001E21A1">
              <w:rPr>
                <w:rFonts w:ascii="GHEA Grapalat" w:hAnsi="GHEA Grapalat"/>
                <w:color w:val="000000"/>
                <w:spacing w:val="-6"/>
                <w:lang w:val="hy-AM"/>
              </w:rPr>
              <w:t>Հիմնարկի գործառույթները շարունակելու է իրականացնել սույն որոշման 3-րդ կետի 1-ին ենթակետով նախատեսված ՀՀ</w:t>
            </w:r>
            <w:r w:rsidRPr="001E21A1">
              <w:rPr>
                <w:rFonts w:ascii="GHEA Grapalat" w:hAnsi="GHEA Grapalat"/>
                <w:color w:val="000000"/>
                <w:spacing w:val="-6"/>
                <w:lang w:val="en-US"/>
              </w:rPr>
              <w:t xml:space="preserve"> </w:t>
            </w:r>
            <w:r w:rsidRPr="001E21A1">
              <w:rPr>
                <w:rFonts w:ascii="GHEA Grapalat" w:hAnsi="GHEA Grapalat" w:cs="Sylfaen"/>
                <w:color w:val="000000"/>
                <w:spacing w:val="-6"/>
                <w:lang w:val="hy-AM"/>
              </w:rPr>
              <w:t>ֆինանսների</w:t>
            </w:r>
            <w:r w:rsidRPr="001E21A1">
              <w:rPr>
                <w:rFonts w:ascii="GHEA Grapalat" w:hAnsi="GHEA Grapalat"/>
                <w:color w:val="000000"/>
                <w:spacing w:val="-6"/>
                <w:lang w:val="hy-AM"/>
              </w:rPr>
              <w:t xml:space="preserve"> </w:t>
            </w:r>
            <w:r w:rsidRPr="001E21A1">
              <w:rPr>
                <w:rFonts w:ascii="GHEA Grapalat" w:hAnsi="GHEA Grapalat" w:cs="Sylfaen"/>
                <w:color w:val="000000"/>
                <w:spacing w:val="-6"/>
                <w:lang w:val="hy-AM"/>
              </w:rPr>
              <w:t>նախարարության</w:t>
            </w:r>
            <w:r w:rsidRPr="001E21A1">
              <w:rPr>
                <w:rFonts w:ascii="GHEA Grapalat" w:hAnsi="GHEA Grapalat"/>
                <w:color w:val="000000"/>
                <w:spacing w:val="-6"/>
                <w:lang w:val="hy-AM"/>
              </w:rPr>
              <w:t xml:space="preserve"> ««</w:t>
            </w:r>
            <w:r w:rsidRPr="001E21A1">
              <w:rPr>
                <w:rFonts w:ascii="GHEA Grapalat" w:hAnsi="GHEA Grapalat" w:cs="Sylfaen"/>
                <w:color w:val="000000"/>
                <w:spacing w:val="-6"/>
                <w:lang w:val="hy-AM"/>
              </w:rPr>
              <w:t>Ծրագրերի</w:t>
            </w:r>
            <w:r w:rsidRPr="001E21A1">
              <w:rPr>
                <w:rFonts w:ascii="GHEA Grapalat" w:hAnsi="GHEA Grapalat"/>
                <w:color w:val="000000"/>
                <w:spacing w:val="-6"/>
                <w:lang w:val="hy-AM"/>
              </w:rPr>
              <w:t xml:space="preserve"> </w:t>
            </w:r>
            <w:r w:rsidRPr="001E21A1">
              <w:rPr>
                <w:rFonts w:ascii="GHEA Grapalat" w:hAnsi="GHEA Grapalat" w:cs="Sylfaen"/>
                <w:color w:val="000000"/>
                <w:spacing w:val="-6"/>
                <w:lang w:val="hy-AM"/>
              </w:rPr>
              <w:t>իրականացման</w:t>
            </w:r>
            <w:r w:rsidRPr="001E21A1">
              <w:rPr>
                <w:rFonts w:ascii="GHEA Grapalat" w:hAnsi="GHEA Grapalat"/>
                <w:color w:val="000000"/>
                <w:spacing w:val="-6"/>
                <w:lang w:val="hy-AM"/>
              </w:rPr>
              <w:t xml:space="preserve"> </w:t>
            </w:r>
            <w:r w:rsidRPr="001E21A1">
              <w:rPr>
                <w:rFonts w:ascii="GHEA Grapalat" w:hAnsi="GHEA Grapalat" w:cs="Sylfaen"/>
                <w:color w:val="000000"/>
                <w:spacing w:val="-6"/>
                <w:lang w:val="hy-AM"/>
              </w:rPr>
              <w:t>գրասենյակ</w:t>
            </w:r>
            <w:r w:rsidRPr="001E21A1">
              <w:rPr>
                <w:rFonts w:ascii="GHEA Grapalat" w:hAnsi="GHEA Grapalat"/>
                <w:color w:val="000000"/>
                <w:spacing w:val="-6"/>
                <w:lang w:val="hy-AM"/>
              </w:rPr>
              <w:t xml:space="preserve">» </w:t>
            </w:r>
            <w:r w:rsidRPr="001E21A1">
              <w:rPr>
                <w:rFonts w:ascii="GHEA Grapalat" w:hAnsi="GHEA Grapalat" w:cs="Sylfaen"/>
                <w:color w:val="000000"/>
                <w:spacing w:val="-6"/>
                <w:lang w:val="hy-AM"/>
              </w:rPr>
              <w:t>կառուցվածքային</w:t>
            </w:r>
            <w:r w:rsidRPr="001E21A1">
              <w:rPr>
                <w:rFonts w:ascii="GHEA Grapalat" w:hAnsi="GHEA Grapalat"/>
                <w:color w:val="000000"/>
                <w:spacing w:val="-6"/>
                <w:lang w:val="hy-AM"/>
              </w:rPr>
              <w:t xml:space="preserve"> </w:t>
            </w:r>
            <w:r w:rsidRPr="001E21A1">
              <w:rPr>
                <w:rFonts w:ascii="GHEA Grapalat" w:hAnsi="GHEA Grapalat" w:cs="Sylfaen"/>
                <w:color w:val="000000"/>
                <w:spacing w:val="-6"/>
                <w:lang w:val="hy-AM"/>
              </w:rPr>
              <w:t>ստորաբաժանումը</w:t>
            </w:r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: </w:t>
            </w:r>
          </w:p>
          <w:p w:rsidR="00A27518" w:rsidRPr="001E21A1" w:rsidRDefault="00A8725E" w:rsidP="00A8725E">
            <w:pPr>
              <w:pStyle w:val="ListParagraph"/>
              <w:spacing w:after="0"/>
              <w:ind w:left="0" w:right="40" w:firstLine="708"/>
              <w:jc w:val="both"/>
              <w:rPr>
                <w:rFonts w:ascii="GHEA Grapalat" w:hAnsi="GHEA Grapalat"/>
                <w:color w:val="000000"/>
                <w:spacing w:val="-6"/>
              </w:rPr>
            </w:pPr>
            <w:proofErr w:type="spellStart"/>
            <w:r w:rsidRPr="001E21A1">
              <w:rPr>
                <w:rFonts w:ascii="GHEA Grapalat" w:hAnsi="GHEA Grapalat"/>
                <w:spacing w:val="-6"/>
              </w:rPr>
              <w:t>Քանի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ՀՀ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վարչապետի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2018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թվականի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հունիսի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11</w:t>
            </w:r>
            <w:r w:rsidRPr="001E21A1">
              <w:rPr>
                <w:rFonts w:ascii="GHEA Grapalat" w:hAnsi="GHEA Grapalat"/>
                <w:spacing w:val="-6"/>
                <w:lang w:val="en-US"/>
              </w:rPr>
              <w:t>-</w:t>
            </w:r>
            <w:r w:rsidRPr="001E21A1">
              <w:rPr>
                <w:rFonts w:ascii="GHEA Grapalat" w:hAnsi="GHEA Grapalat"/>
                <w:spacing w:val="-6"/>
              </w:rPr>
              <w:t>ի 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Հայաստանի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Հանրապետության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ֆինանսների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նախարարության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կանոնադրությունը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հաստատելու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մասին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 743-Լ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որոշմով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հստատված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կանոնադրությամբ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ֆինանսների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նախարարության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r w:rsidRPr="001E21A1">
              <w:rPr>
                <w:rFonts w:ascii="GHEA Grapalat" w:hAnsi="GHEA Grapalat"/>
                <w:color w:val="000000"/>
                <w:spacing w:val="-6"/>
                <w:lang w:val="hy-AM"/>
              </w:rPr>
              <w:t>կառուցվածքային</w:t>
            </w:r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ստորոբաժանումները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բաժանված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են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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հիմնական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մասնագիտական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կառուցվածքային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ստորաբաժանումների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> (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թվով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21) և  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աջակցող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մասնագիտական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կառուցվածքային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ստորաբաժանումների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> (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թվով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9) (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կանոնադրության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32-րդ և 33-րդ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կետեր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),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գտնում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ենք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 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սույն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որոշման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նախագծի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2-րդ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lastRenderedPageBreak/>
              <w:t>կետում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անհրաժեշտ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է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հստակեցնել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նախատեսվող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r w:rsidRPr="001E21A1">
              <w:rPr>
                <w:rFonts w:ascii="GHEA Grapalat" w:hAnsi="GHEA Grapalat"/>
                <w:color w:val="000000"/>
                <w:spacing w:val="-6"/>
                <w:lang w:val="hy-AM"/>
              </w:rPr>
              <w:t>կառուցվածքային ստորաբաժան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ման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բնույթը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>:</w:t>
            </w:r>
          </w:p>
          <w:p w:rsidR="009F5CB5" w:rsidRPr="001E21A1" w:rsidRDefault="009F5CB5" w:rsidP="00A8725E">
            <w:pPr>
              <w:pStyle w:val="ListParagraph"/>
              <w:spacing w:after="0"/>
              <w:ind w:left="0" w:right="40" w:firstLine="708"/>
              <w:jc w:val="both"/>
              <w:rPr>
                <w:rFonts w:ascii="GHEA Grapalat" w:hAnsi="GHEA Grapalat"/>
                <w:color w:val="000000"/>
                <w:spacing w:val="-6"/>
                <w:lang w:val="en-US"/>
              </w:rPr>
            </w:pPr>
          </w:p>
          <w:p w:rsidR="00132FA3" w:rsidRPr="001E21A1" w:rsidRDefault="00132FA3" w:rsidP="00132FA3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679"/>
              </w:tabs>
              <w:spacing w:before="60" w:after="0" w:line="240" w:lineRule="auto"/>
              <w:ind w:left="90" w:firstLine="357"/>
              <w:jc w:val="both"/>
              <w:rPr>
                <w:rFonts w:ascii="GHEA Grapalat" w:hAnsi="GHEA Grapalat"/>
                <w:color w:val="000000"/>
                <w:spacing w:val="-6"/>
              </w:rPr>
            </w:pPr>
            <w:proofErr w:type="spellStart"/>
            <w:r w:rsidRPr="001E21A1">
              <w:rPr>
                <w:rFonts w:ascii="GHEA Grapalat" w:hAnsi="GHEA Grapalat" w:cs="Sylfaen"/>
                <w:spacing w:val="-6"/>
              </w:rPr>
              <w:t>Ո</w:t>
            </w:r>
            <w:r w:rsidRPr="001E21A1">
              <w:rPr>
                <w:rFonts w:ascii="GHEA Grapalat" w:hAnsi="GHEA Grapalat"/>
                <w:spacing w:val="-6"/>
              </w:rPr>
              <w:t>րոշման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նախագծի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2-րդ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կետի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1-ին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ենթակետով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նախատեսվում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է,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>.                   1) 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Հիմնարկի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աշխատողները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սույն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որոշման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ուժով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ազատվում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և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օրենսդրությամբ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սահմանված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կարգով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նշանակվում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են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Ստորաբաժանման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համարժեք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՝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քաղաքացիական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ծառայության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պաշտոնների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իսկ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դրա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անհնարինության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դեպքում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ներգրավվում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են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աշխատանքային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պայմանագրով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՝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առնվազն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պահպանելով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Հիմնարկի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աշխատողների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վարձատրության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(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աշխատավարձի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և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դրան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հավասարեցված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այլ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վճարների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)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պայմանները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>։</w:t>
            </w:r>
          </w:p>
          <w:p w:rsidR="00132FA3" w:rsidRPr="001E21A1" w:rsidRDefault="00132FA3" w:rsidP="00132FA3">
            <w:pPr>
              <w:pStyle w:val="ListParagraph"/>
              <w:tabs>
                <w:tab w:val="left" w:pos="0"/>
              </w:tabs>
              <w:spacing w:before="60"/>
              <w:ind w:left="0" w:firstLine="447"/>
              <w:jc w:val="both"/>
              <w:rPr>
                <w:rFonts w:ascii="GHEA Grapalat" w:hAnsi="GHEA Grapalat"/>
                <w:color w:val="000000"/>
                <w:spacing w:val="-6"/>
              </w:rPr>
            </w:pPr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Գտնում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ենք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, </w:t>
            </w:r>
            <w:proofErr w:type="spellStart"/>
            <w:proofErr w:type="gramStart"/>
            <w:r w:rsidRPr="001E21A1">
              <w:rPr>
                <w:rFonts w:ascii="GHEA Grapalat" w:hAnsi="GHEA Grapalat"/>
                <w:spacing w:val="-6"/>
              </w:rPr>
              <w:t>որ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աշխատողների</w:t>
            </w:r>
            <w:proofErr w:type="spellEnd"/>
            <w:proofErr w:type="gram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աշխատանքային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պայմանգրերով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ներգրավվման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մասով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անհրաժեշտ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է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որոշան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նախագծի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մեջ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հստակ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շարադրել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անհնարինութան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pacing w:val="-6"/>
              </w:rPr>
              <w:t>դեպքերը</w:t>
            </w:r>
            <w:proofErr w:type="spellEnd"/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:  </w:t>
            </w:r>
          </w:p>
          <w:p w:rsidR="00132FA3" w:rsidRPr="001E21A1" w:rsidRDefault="00132FA3" w:rsidP="00132FA3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679"/>
              </w:tabs>
              <w:spacing w:before="60" w:after="0" w:line="240" w:lineRule="auto"/>
              <w:ind w:left="90" w:firstLine="357"/>
              <w:jc w:val="both"/>
              <w:rPr>
                <w:rFonts w:ascii="GHEA Grapalat" w:hAnsi="GHEA Grapalat"/>
                <w:color w:val="000000"/>
                <w:spacing w:val="-6"/>
              </w:rPr>
            </w:pPr>
            <w:proofErr w:type="spellStart"/>
            <w:r w:rsidRPr="001E21A1">
              <w:rPr>
                <w:rFonts w:ascii="GHEA Grapalat" w:hAnsi="GHEA Grapalat" w:cs="Sylfaen"/>
                <w:spacing w:val="-6"/>
              </w:rPr>
              <w:t>Ո</w:t>
            </w:r>
            <w:r w:rsidRPr="001E21A1">
              <w:rPr>
                <w:rFonts w:ascii="GHEA Grapalat" w:hAnsi="GHEA Grapalat"/>
                <w:spacing w:val="-6"/>
              </w:rPr>
              <w:t>րոշման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նախագծի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հիմնավորման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մեջ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որպես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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խնդիր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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նշված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է,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 ՀՀ </w:t>
            </w:r>
            <w:r w:rsidRPr="001E21A1">
              <w:rPr>
                <w:rFonts w:ascii="GHEA Grapalat" w:hAnsi="GHEA Grapalat"/>
                <w:color w:val="000000"/>
                <w:spacing w:val="-6"/>
                <w:lang w:val="hy-AM"/>
              </w:rPr>
              <w:t>ֆինանսների նախարարության «Արտասահմանյան ֆինանսական ծրագրերի կառավարման կենտրոն» պետական հիմնարկի</w:t>
            </w:r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ն </w:t>
            </w:r>
            <w:r w:rsidRPr="001E21A1">
              <w:rPr>
                <w:rFonts w:ascii="GHEA Grapalat" w:hAnsi="GHEA Grapalat"/>
                <w:spacing w:val="-6"/>
              </w:rPr>
              <w:t>(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այսուհետ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՝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Հիմնարկ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) </w:t>
            </w:r>
            <w:r w:rsidRPr="001E21A1">
              <w:rPr>
                <w:rFonts w:ascii="GHEA Grapalat" w:hAnsi="GHEA Grapalat"/>
                <w:color w:val="000000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ներկայումս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վերապահված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են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այնպիսի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գործառույթներ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որոնք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«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Կառավարության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կառուցվածքի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և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գործունեության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մասին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» ՀՀ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օրենքի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ուժով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b/>
                <w:spacing w:val="-6"/>
              </w:rPr>
              <w:t>պետք</w:t>
            </w:r>
            <w:proofErr w:type="spellEnd"/>
            <w:r w:rsidRPr="001E21A1">
              <w:rPr>
                <w:rFonts w:ascii="GHEA Grapalat" w:hAnsi="GHEA Grapalat"/>
                <w:b/>
                <w:spacing w:val="-6"/>
              </w:rPr>
              <w:t xml:space="preserve"> է </w:t>
            </w:r>
            <w:proofErr w:type="spellStart"/>
            <w:r w:rsidRPr="001E21A1">
              <w:rPr>
                <w:rFonts w:ascii="GHEA Grapalat" w:hAnsi="GHEA Grapalat"/>
                <w:b/>
                <w:spacing w:val="-6"/>
              </w:rPr>
              <w:t>իրականացվեն</w:t>
            </w:r>
            <w:proofErr w:type="spellEnd"/>
            <w:r w:rsidRPr="001E21A1">
              <w:rPr>
                <w:rFonts w:ascii="GHEA Grapalat" w:hAnsi="GHEA Grapalat"/>
                <w:b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b/>
                <w:spacing w:val="-6"/>
              </w:rPr>
              <w:t>անմիջականորեն</w:t>
            </w:r>
            <w:proofErr w:type="spellEnd"/>
            <w:r w:rsidRPr="001E21A1">
              <w:rPr>
                <w:rFonts w:ascii="GHEA Grapalat" w:hAnsi="GHEA Grapalat"/>
                <w:b/>
                <w:spacing w:val="-6"/>
              </w:rPr>
              <w:t xml:space="preserve"> ՀՀ </w:t>
            </w:r>
            <w:proofErr w:type="spellStart"/>
            <w:r w:rsidRPr="001E21A1">
              <w:rPr>
                <w:rFonts w:ascii="GHEA Grapalat" w:hAnsi="GHEA Grapalat"/>
                <w:b/>
                <w:spacing w:val="-6"/>
              </w:rPr>
              <w:t>ֆինանսների</w:t>
            </w:r>
            <w:proofErr w:type="spellEnd"/>
            <w:r w:rsidRPr="001E21A1">
              <w:rPr>
                <w:rFonts w:ascii="GHEA Grapalat" w:hAnsi="GHEA Grapalat"/>
                <w:b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b/>
                <w:spacing w:val="-6"/>
              </w:rPr>
              <w:t>նախարարության</w:t>
            </w:r>
            <w:proofErr w:type="spellEnd"/>
            <w:r w:rsidRPr="001E21A1">
              <w:rPr>
                <w:rFonts w:ascii="GHEA Grapalat" w:hAnsi="GHEA Grapalat"/>
                <w:b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b/>
                <w:spacing w:val="-6"/>
              </w:rPr>
              <w:t>կողմից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,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իսկ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որպես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Կարգավորման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նպատակ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և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բնույթ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առաջարկվում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է 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դադարեցնել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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Հիմնարկի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գործունեությունը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և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վերջինիս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լիազորությունների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իրականացումն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ապահովել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ՀՀ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ֆինանսների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նախարարության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կառուցվածքում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ստեղծվող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ստորաբաժանման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միջոցով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։ </w:t>
            </w:r>
          </w:p>
          <w:p w:rsidR="00132FA3" w:rsidRPr="001E21A1" w:rsidRDefault="00132FA3" w:rsidP="00132FA3">
            <w:pPr>
              <w:pStyle w:val="ListParagraph"/>
              <w:tabs>
                <w:tab w:val="left" w:pos="0"/>
              </w:tabs>
              <w:spacing w:before="60"/>
              <w:ind w:left="0" w:firstLine="447"/>
              <w:jc w:val="both"/>
              <w:rPr>
                <w:rFonts w:ascii="GHEA Grapalat" w:hAnsi="GHEA Grapalat"/>
                <w:spacing w:val="-6"/>
              </w:rPr>
            </w:pPr>
            <w:proofErr w:type="spellStart"/>
            <w:r w:rsidRPr="001E21A1">
              <w:rPr>
                <w:rFonts w:ascii="GHEA Grapalat" w:hAnsi="GHEA Grapalat"/>
                <w:spacing w:val="-6"/>
              </w:rPr>
              <w:t>Միաժամանակ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որոշման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նախագծի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3-րդ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կետով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առաջարկվում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է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ստեղծվող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ստորաբաժանմանը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վերապահել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մի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շարք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լիազորություններ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և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իրավասություններ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(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ֆինանսական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կառավարման</w:t>
            </w:r>
            <w:proofErr w:type="spellEnd"/>
            <w:r w:rsidR="001E21A1">
              <w:rPr>
                <w:rFonts w:ascii="GHEA Grapalat" w:hAnsi="GHEA Grapalat"/>
                <w:spacing w:val="-6"/>
              </w:rPr>
              <w:t>,</w:t>
            </w:r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գնումների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համակարգողի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վարկային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և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lastRenderedPageBreak/>
              <w:t>դրամաշնորհային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ծրագրերի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շրջանակներում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գործարքներ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կնքելու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ունենալ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հաշիվ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կնիք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ձևաթուղթ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և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անհատականացման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այլ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միջոցներ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): </w:t>
            </w:r>
          </w:p>
          <w:p w:rsidR="00132FA3" w:rsidRPr="001E21A1" w:rsidRDefault="00132FA3" w:rsidP="00132FA3">
            <w:pPr>
              <w:pStyle w:val="ListParagraph"/>
              <w:tabs>
                <w:tab w:val="left" w:pos="0"/>
              </w:tabs>
              <w:spacing w:before="60"/>
              <w:ind w:left="0" w:firstLine="447"/>
              <w:jc w:val="both"/>
              <w:rPr>
                <w:rFonts w:ascii="GHEA Grapalat" w:hAnsi="GHEA Grapalat"/>
                <w:spacing w:val="-6"/>
              </w:rPr>
            </w:pPr>
            <w:proofErr w:type="spellStart"/>
            <w:r w:rsidRPr="001E21A1">
              <w:rPr>
                <w:rFonts w:ascii="GHEA Grapalat" w:hAnsi="GHEA Grapalat"/>
                <w:spacing w:val="-6"/>
              </w:rPr>
              <w:t>Այս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դեպքում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մեր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կարծիքով</w:t>
            </w:r>
            <w:proofErr w:type="spellEnd"/>
            <w:r w:rsidR="001E21A1">
              <w:rPr>
                <w:rFonts w:ascii="GHEA Grapalat" w:hAnsi="GHEA Grapalat"/>
                <w:spacing w:val="-6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լիարժեք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չի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լուծվում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վերը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նշված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</w:t>
            </w:r>
            <w:proofErr w:type="spellStart"/>
            <w:r w:rsidRPr="001E21A1">
              <w:rPr>
                <w:rFonts w:ascii="GHEA Grapalat" w:hAnsi="GHEA Grapalat"/>
                <w:b/>
                <w:spacing w:val="-6"/>
              </w:rPr>
              <w:t>անմիջականորեն</w:t>
            </w:r>
            <w:proofErr w:type="spellEnd"/>
            <w:r w:rsidRPr="001E21A1">
              <w:rPr>
                <w:rFonts w:ascii="GHEA Grapalat" w:hAnsi="GHEA Grapalat"/>
                <w:b/>
                <w:spacing w:val="-6"/>
              </w:rPr>
              <w:t xml:space="preserve"> ՀՀ </w:t>
            </w:r>
            <w:proofErr w:type="spellStart"/>
            <w:r w:rsidRPr="001E21A1">
              <w:rPr>
                <w:rFonts w:ascii="GHEA Grapalat" w:hAnsi="GHEA Grapalat"/>
                <w:b/>
                <w:spacing w:val="-6"/>
              </w:rPr>
              <w:t>ֆինանսների</w:t>
            </w:r>
            <w:proofErr w:type="spellEnd"/>
            <w:r w:rsidRPr="001E21A1">
              <w:rPr>
                <w:rFonts w:ascii="GHEA Grapalat" w:hAnsi="GHEA Grapalat"/>
                <w:b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b/>
                <w:spacing w:val="-6"/>
              </w:rPr>
              <w:t>նախարարության</w:t>
            </w:r>
            <w:proofErr w:type="spellEnd"/>
            <w:r w:rsidRPr="001E21A1">
              <w:rPr>
                <w:rFonts w:ascii="GHEA Grapalat" w:hAnsi="GHEA Grapalat"/>
                <w:b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b/>
                <w:spacing w:val="-6"/>
              </w:rPr>
              <w:t>կողմից</w:t>
            </w:r>
            <w:proofErr w:type="spellEnd"/>
            <w:r w:rsidRPr="001E21A1">
              <w:rPr>
                <w:rFonts w:ascii="GHEA Grapalat" w:hAnsi="GHEA Grapalat"/>
                <w:b/>
                <w:spacing w:val="-6"/>
              </w:rPr>
              <w:t></w:t>
            </w:r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գործառույթների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իրականացման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խնդիրը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և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առաջարկում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ենք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նշված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լիազորությունները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և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իրավասությունները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վերապահել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b/>
                <w:spacing w:val="-6"/>
              </w:rPr>
              <w:t>անմիջականորեն</w:t>
            </w:r>
            <w:proofErr w:type="spellEnd"/>
            <w:r w:rsidRPr="001E21A1">
              <w:rPr>
                <w:rFonts w:ascii="GHEA Grapalat" w:hAnsi="GHEA Grapalat"/>
                <w:b/>
                <w:spacing w:val="-6"/>
              </w:rPr>
              <w:t xml:space="preserve"> ՀՀ </w:t>
            </w:r>
            <w:proofErr w:type="spellStart"/>
            <w:r w:rsidRPr="001E21A1">
              <w:rPr>
                <w:rFonts w:ascii="GHEA Grapalat" w:hAnsi="GHEA Grapalat"/>
                <w:b/>
                <w:spacing w:val="-6"/>
              </w:rPr>
              <w:t>ֆինանսների</w:t>
            </w:r>
            <w:proofErr w:type="spellEnd"/>
            <w:r w:rsidRPr="001E21A1">
              <w:rPr>
                <w:rFonts w:ascii="GHEA Grapalat" w:hAnsi="GHEA Grapalat"/>
                <w:b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b/>
                <w:spacing w:val="-6"/>
              </w:rPr>
              <w:t>նախարարությանը</w:t>
            </w:r>
            <w:proofErr w:type="spellEnd"/>
            <w:r w:rsidRPr="001E21A1">
              <w:rPr>
                <w:rFonts w:ascii="GHEA Grapalat" w:hAnsi="GHEA Grapalat"/>
                <w:b/>
                <w:spacing w:val="-6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ամբողջապես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կլուծվի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որոշման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նախագծի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հիմնավորման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մեջ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նշված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խնդիրը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>:</w:t>
            </w:r>
          </w:p>
          <w:p w:rsidR="00CB1D35" w:rsidRPr="001E21A1" w:rsidRDefault="00132FA3" w:rsidP="00A06CD9">
            <w:pPr>
              <w:pStyle w:val="ListParagraph"/>
              <w:spacing w:after="0"/>
              <w:ind w:left="0" w:right="40" w:firstLine="708"/>
              <w:jc w:val="both"/>
              <w:rPr>
                <w:rFonts w:ascii="GHEA Grapalat" w:hAnsi="GHEA Grapalat"/>
                <w:spacing w:val="-6"/>
                <w:lang w:val="en-US"/>
              </w:rPr>
            </w:pPr>
            <w:proofErr w:type="spellStart"/>
            <w:r w:rsidRPr="001E21A1">
              <w:rPr>
                <w:rFonts w:ascii="GHEA Grapalat" w:hAnsi="GHEA Grapalat"/>
                <w:spacing w:val="-6"/>
              </w:rPr>
              <w:t>Ելնելով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վերը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նշվածից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առաջարկում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ենք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որոշման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 w:cs="Sylfaen"/>
                <w:spacing w:val="-6"/>
              </w:rPr>
              <w:t>նախագիծը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լրամշակել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վերը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նշված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առաջարկություններին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և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դիտողություններին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</w:rPr>
              <w:t>համապատասխան</w:t>
            </w:r>
            <w:proofErr w:type="spellEnd"/>
            <w:r w:rsidRPr="001E21A1">
              <w:rPr>
                <w:rFonts w:ascii="GHEA Grapalat" w:hAnsi="GHEA Grapalat"/>
                <w:spacing w:val="-6"/>
              </w:rPr>
              <w:t>:</w:t>
            </w:r>
          </w:p>
          <w:p w:rsidR="00F54D95" w:rsidRPr="001E21A1" w:rsidRDefault="00F54D95" w:rsidP="00A8725E">
            <w:pPr>
              <w:spacing w:line="276" w:lineRule="auto"/>
              <w:jc w:val="both"/>
              <w:rPr>
                <w:rFonts w:ascii="GHEA Grapalat" w:hAnsi="GHEA Grapalat"/>
                <w:spacing w:val="-6"/>
                <w:sz w:val="22"/>
                <w:szCs w:val="22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95" w:rsidRPr="001E21A1" w:rsidRDefault="001150F7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1.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է: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2-րդ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կետը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խմբագրվել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</w:t>
            </w: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0943C6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F5CB5" w:rsidRPr="001E21A1" w:rsidRDefault="009F5CB5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943C6" w:rsidRPr="001E21A1" w:rsidRDefault="001150F7" w:rsidP="000943C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2.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Թողնվել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անփոփոխ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քանի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նախատեսվում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է,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Հիմնարկի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լիազորությունները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Ստորաբաժանումը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իրականացնելու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Հիմնարկի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և/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կամ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դրա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աշխատակիցների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նախատեսված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նույն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պայմաններով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ընթացակարգերով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գործելով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անունից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Հետևաբար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բոլոր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այն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դեպքերում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երբ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քաղաքացիական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ծառայությունը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կարգավորող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իրավական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ակտերով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հնարավոր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լինի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ապահովել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նախկին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պայմանները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առնվազն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վարձատրությունը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),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գործ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կունենանք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քննարկվող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անհնարինության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հետ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Հիմնարկի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նախկին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աշխատակիցներն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կներգրավվեն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աշխատանքային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պայմանագրով</w:t>
            </w:r>
            <w:proofErr w:type="spellEnd"/>
            <w:r w:rsidR="000943C6" w:rsidRPr="001E21A1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1150F7" w:rsidRPr="001E21A1" w:rsidRDefault="001150F7" w:rsidP="000943C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50F7" w:rsidRPr="001E21A1" w:rsidRDefault="001150F7" w:rsidP="000943C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է: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2-րդ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կետը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խմբագրվել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95" w:rsidRPr="001E21A1" w:rsidRDefault="00F54D95" w:rsidP="008136FE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D36B2" w:rsidRPr="001E21A1" w:rsidTr="000943C6">
        <w:trPr>
          <w:trHeight w:val="2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B2" w:rsidRPr="001E21A1" w:rsidRDefault="008D36B2" w:rsidP="00143B21">
            <w:pPr>
              <w:jc w:val="center"/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lastRenderedPageBreak/>
              <w:t xml:space="preserve">ՀՀ </w:t>
            </w:r>
            <w:proofErr w:type="spellStart"/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>վարչապետի</w:t>
            </w:r>
            <w:proofErr w:type="spellEnd"/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>աշխատազմի</w:t>
            </w:r>
            <w:proofErr w:type="spellEnd"/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>իրավաբանական</w:t>
            </w:r>
            <w:proofErr w:type="spellEnd"/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>վարչություն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D9" w:rsidRPr="001E21A1" w:rsidRDefault="00A06CD9" w:rsidP="00A06CD9">
            <w:pPr>
              <w:tabs>
                <w:tab w:val="left" w:pos="0"/>
              </w:tabs>
              <w:spacing w:before="60" w:line="276" w:lineRule="auto"/>
              <w:jc w:val="both"/>
              <w:rPr>
                <w:rFonts w:ascii="GHEA Grapalat" w:eastAsia="Calibri" w:hAnsi="GHEA Grapalat"/>
                <w:spacing w:val="-6"/>
                <w:sz w:val="22"/>
                <w:szCs w:val="22"/>
                <w:lang w:val="en-US" w:eastAsia="en-US"/>
              </w:rPr>
            </w:pP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Նախագծի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նախաբանում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հղում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օրենսգրքի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62-րդ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հոդվածին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որը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հիմնարկի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դադարման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որևէ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նորմ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չի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պարունակում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։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Միաժամանակ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իրավական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տեխնիկայի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առումով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խնդրահարույց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նախաբանում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հղում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կատարել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նույն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նախագծով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ուժը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կորցրած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ճանաչվող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իրավական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ակտի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2011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թվականի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մայիսի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5-ի N 562-Ն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որոշմանը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։ </w:t>
            </w:r>
          </w:p>
          <w:p w:rsidR="000D6A27" w:rsidRPr="001E21A1" w:rsidRDefault="00A06CD9" w:rsidP="00A06CD9">
            <w:pPr>
              <w:tabs>
                <w:tab w:val="left" w:pos="0"/>
              </w:tabs>
              <w:spacing w:before="60" w:line="276" w:lineRule="auto"/>
              <w:jc w:val="both"/>
              <w:rPr>
                <w:rFonts w:ascii="GHEA Grapalat" w:eastAsia="Calibri" w:hAnsi="GHEA Grapalat"/>
                <w:spacing w:val="-6"/>
                <w:sz w:val="22"/>
                <w:szCs w:val="22"/>
                <w:lang w:val="en-US" w:eastAsia="en-US"/>
              </w:rPr>
            </w:pP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Որոշման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նախագծի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կետը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նախատեսում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կարգավորումներ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այդ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թվում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վերապահում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դեռևս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չստեղծված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գոյություն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չունեցող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գրասենյակ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կառուցվածքային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ստորաբաժանման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մասով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ինչն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առնվազն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վիճահարույց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է։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Միաժամանակ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վերոնշյալը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խնդրահարույց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է </w:t>
            </w: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lastRenderedPageBreak/>
              <w:t>«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իրավահարաբերությունների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մասին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օրենքի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3-րդ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հոդվածի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պահանջների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հաշվառմամբ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որով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գրասենյակ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կառուցվածքային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ստորաբաժանում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չէ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այլ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կառուցվածքային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ստորաբաժանումներ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գրասենյակ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։ </w:t>
            </w:r>
          </w:p>
          <w:p w:rsidR="000D6A27" w:rsidRPr="001E21A1" w:rsidRDefault="00A06CD9" w:rsidP="00A06CD9">
            <w:pPr>
              <w:tabs>
                <w:tab w:val="left" w:pos="0"/>
              </w:tabs>
              <w:spacing w:before="60" w:line="276" w:lineRule="auto"/>
              <w:jc w:val="both"/>
              <w:rPr>
                <w:rFonts w:ascii="GHEA Grapalat" w:eastAsia="Calibri" w:hAnsi="GHEA Grapalat"/>
                <w:spacing w:val="-6"/>
                <w:sz w:val="22"/>
                <w:szCs w:val="22"/>
                <w:lang w:val="en-US" w:eastAsia="en-US"/>
              </w:rPr>
            </w:pP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3</w:t>
            </w:r>
            <w:r w:rsidRPr="001E21A1">
              <w:rPr>
                <w:rFonts w:ascii="GHEA Grapalat" w:eastAsia="Calibri" w:hAnsi="GHEA Grapalat" w:hint="eastAsia"/>
                <w:spacing w:val="-6"/>
                <w:sz w:val="22"/>
                <w:szCs w:val="22"/>
                <w:lang w:eastAsia="en-US"/>
              </w:rPr>
              <w:t>․</w:t>
            </w: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Նախագծի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կետի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1-ին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ենթակետով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դրույթներ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որոնք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կարծում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ենք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որ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նախագծի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առարկայի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շրջանակներից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դուրս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հանդիսանալով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օրենքի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առարկա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։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Մասնավորապես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հիմնարկի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ազատման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հարցը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օրենսգրքի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իսկ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վերջիններիս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պաշտոնների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նշանակումը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մասին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օրենքի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դրույթների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տիրույթում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է։ </w:t>
            </w:r>
          </w:p>
          <w:p w:rsidR="000B1B79" w:rsidRPr="001E21A1" w:rsidRDefault="00A06CD9" w:rsidP="00A06CD9">
            <w:pPr>
              <w:tabs>
                <w:tab w:val="left" w:pos="0"/>
              </w:tabs>
              <w:spacing w:before="60" w:line="276" w:lineRule="auto"/>
              <w:jc w:val="both"/>
              <w:rPr>
                <w:rFonts w:ascii="GHEA Grapalat" w:eastAsia="Calibri" w:hAnsi="GHEA Grapalat"/>
                <w:spacing w:val="-6"/>
                <w:sz w:val="22"/>
                <w:szCs w:val="22"/>
                <w:lang w:val="en-US" w:eastAsia="en-US"/>
              </w:rPr>
            </w:pP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4</w:t>
            </w:r>
            <w:r w:rsidRPr="001E21A1">
              <w:rPr>
                <w:rFonts w:ascii="GHEA Grapalat" w:eastAsia="Calibri" w:hAnsi="GHEA Grapalat" w:hint="eastAsia"/>
                <w:spacing w:val="-6"/>
                <w:sz w:val="22"/>
                <w:szCs w:val="22"/>
                <w:lang w:eastAsia="en-US"/>
              </w:rPr>
              <w:t>․</w:t>
            </w: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Նախագծի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կետի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ենթակետով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դրույթն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նախատեսել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կանոնադրությամբ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իսկ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վարկային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պայմանագրերից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բխող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պարտավորությունները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նախագծի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կետի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2-րդ և 3-րդ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ենթակետեր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դրանց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։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Միաժամանակ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առաջարկում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ենք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կանոնադրությամբ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կատարել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սույն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որոշման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նախագծին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զուգահեռ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։ </w:t>
            </w:r>
          </w:p>
          <w:p w:rsidR="009F5CB5" w:rsidRPr="001E21A1" w:rsidRDefault="00A06CD9" w:rsidP="00A06CD9">
            <w:pPr>
              <w:tabs>
                <w:tab w:val="left" w:pos="0"/>
              </w:tabs>
              <w:spacing w:before="60" w:line="276" w:lineRule="auto"/>
              <w:jc w:val="both"/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</w:pP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5</w:t>
            </w:r>
            <w:r w:rsidRPr="001E21A1">
              <w:rPr>
                <w:rFonts w:ascii="GHEA Grapalat" w:eastAsia="Calibri" w:hAnsi="GHEA Grapalat" w:hint="eastAsia"/>
                <w:spacing w:val="-6"/>
                <w:sz w:val="22"/>
                <w:szCs w:val="22"/>
                <w:lang w:eastAsia="en-US"/>
              </w:rPr>
              <w:t>․</w:t>
            </w: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Նախագծի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3-րդ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կետի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1-ի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ենթակետով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lastRenderedPageBreak/>
              <w:t>ժամկետն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առաջարկում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ենք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դարձնել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առավել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իրատեսական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։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Միաժամանակ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նախագծի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3-րդ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կետի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1-ի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ենթակետի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«բ»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պարբերությունում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պարզաբանման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անհրաժեշտություն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ունի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այն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հարցը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թե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ինչպիսի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՞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միավորման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մասին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խոսքը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ինչպե՞ս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դա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իրականացվելու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։ </w:t>
            </w:r>
          </w:p>
          <w:p w:rsidR="00913187" w:rsidRPr="001E21A1" w:rsidRDefault="00A06CD9" w:rsidP="00A06CD9">
            <w:pPr>
              <w:tabs>
                <w:tab w:val="left" w:pos="0"/>
              </w:tabs>
              <w:spacing w:before="60" w:line="276" w:lineRule="auto"/>
              <w:jc w:val="both"/>
              <w:rPr>
                <w:rFonts w:ascii="GHEA Grapalat" w:eastAsia="Calibri" w:hAnsi="GHEA Grapalat"/>
                <w:spacing w:val="-6"/>
                <w:sz w:val="22"/>
                <w:szCs w:val="22"/>
                <w:lang w:val="en-US" w:eastAsia="en-US"/>
              </w:rPr>
            </w:pP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6</w:t>
            </w:r>
            <w:r w:rsidRPr="001E21A1">
              <w:rPr>
                <w:rFonts w:ascii="GHEA Grapalat" w:eastAsia="Calibri" w:hAnsi="GHEA Grapalat" w:hint="eastAsia"/>
                <w:spacing w:val="-6"/>
                <w:sz w:val="22"/>
                <w:szCs w:val="22"/>
                <w:lang w:eastAsia="en-US"/>
              </w:rPr>
              <w:t>․</w:t>
            </w: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Նախագծի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3-րդ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կետի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ենթակետը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որով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է,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որ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դեռևս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գոյություն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չունեցող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ստորաբաժանումը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կարող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ունենալ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հաշիվ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կնիք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ձևաթուղթ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անհատականացման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այլ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միջոցներ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խնդրահարույց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է «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իրավահարաբերությունների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մասին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օրենքի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տեսանկյունից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որով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միայն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պետական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մարմինը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ենթակա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պետական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մարմինը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գրասենյակը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կարող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ունենալ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պետական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զինանշանի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պատկերով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իրենց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անվանմամբ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կլոր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կնիք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անհատականացման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միջոցներ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: </w:t>
            </w:r>
          </w:p>
          <w:p w:rsidR="008D36B2" w:rsidRPr="001E21A1" w:rsidRDefault="00A06CD9" w:rsidP="00A06CD9">
            <w:pPr>
              <w:tabs>
                <w:tab w:val="left" w:pos="0"/>
              </w:tabs>
              <w:spacing w:before="60" w:line="276" w:lineRule="auto"/>
              <w:jc w:val="both"/>
              <w:rPr>
                <w:rFonts w:ascii="GHEA Grapalat" w:eastAsia="Calibri" w:hAnsi="GHEA Grapalat"/>
                <w:spacing w:val="-6"/>
                <w:sz w:val="22"/>
                <w:szCs w:val="22"/>
                <w:lang w:val="en-US" w:eastAsia="en-US"/>
              </w:rPr>
            </w:pP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7</w:t>
            </w:r>
            <w:r w:rsidRPr="001E21A1">
              <w:rPr>
                <w:rFonts w:ascii="GHEA Grapalat" w:eastAsia="Calibri" w:hAnsi="GHEA Grapalat" w:hint="eastAsia"/>
                <w:spacing w:val="-6"/>
                <w:sz w:val="22"/>
                <w:szCs w:val="22"/>
                <w:lang w:eastAsia="en-US"/>
              </w:rPr>
              <w:t>․</w:t>
            </w: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Նախագծի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3-րդ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կետի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4-ի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ենթակետի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մասով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հստակեցնել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այն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հարցը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թե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արդյո՞ք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առկա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են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հիմնարկին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անհատույց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օգտագործման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իրավունքով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գույք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տրամադրելու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պայմանագրեր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։</w:t>
            </w:r>
          </w:p>
          <w:p w:rsidR="00D677E0" w:rsidRPr="001E21A1" w:rsidRDefault="00D677E0" w:rsidP="00A06CD9">
            <w:pPr>
              <w:tabs>
                <w:tab w:val="left" w:pos="0"/>
              </w:tabs>
              <w:spacing w:before="60" w:line="276" w:lineRule="auto"/>
              <w:jc w:val="both"/>
              <w:rPr>
                <w:rFonts w:ascii="GHEA Grapalat" w:eastAsia="Calibri" w:hAnsi="GHEA Grapalat"/>
                <w:spacing w:val="-6"/>
                <w:sz w:val="22"/>
                <w:szCs w:val="22"/>
                <w:lang w:val="en-US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B2" w:rsidRPr="001E21A1" w:rsidRDefault="001150F7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1.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է: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նախաբանը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խմբագրվել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է:</w:t>
            </w:r>
          </w:p>
          <w:p w:rsidR="001150F7" w:rsidRPr="001E21A1" w:rsidRDefault="001150F7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է: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2-րդ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կետը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խմբագրվել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է: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Նախատեսվել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է,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Հիմնարկի գործառույթները շարունակելու է իրականացնել Հայաստանի Հանրապետության ֆինանսների նախարարությ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</w:rPr>
              <w:t>ունը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««Ծրագրերի </w:t>
            </w:r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 xml:space="preserve">իրականացման գրասենյակ»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</w:rPr>
              <w:t>վարչություն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</w:rPr>
              <w:t>օժանդակ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</w:rPr>
              <w:t>մասնագիտական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կառուցվածքային ստորաբաժանման միջոցով</w:t>
            </w:r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  <w:p w:rsidR="001150F7" w:rsidRPr="001E21A1" w:rsidRDefault="001150F7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Թողնվել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անփոփոխ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քանի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որ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առաջարկվող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կարգավորումը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չի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հակասում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օրենսդրությանը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  <w:p w:rsidR="001150F7" w:rsidRPr="001E21A1" w:rsidRDefault="001150F7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Ընդունվել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գիտություն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Նշված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կարգավորումները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կնախատեսվեն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ֆինանսների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նախարարության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կանոնադրության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Նախագծի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3-րդ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կետի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1-ին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ենթակետով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նախատեսված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փոփոխություններում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լրացումներում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  <w:p w:rsidR="009F5CB5" w:rsidRPr="001E21A1" w:rsidRDefault="009F5CB5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9F5CB5" w:rsidRPr="001E21A1" w:rsidRDefault="009F5CB5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9F5CB5" w:rsidRPr="001E21A1" w:rsidRDefault="009F5CB5" w:rsidP="008136FE">
            <w:pP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9F5CB5" w:rsidRPr="001E21A1" w:rsidRDefault="009F5CB5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5.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Ընդունվել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է: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Նախագծի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3-րդ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կետի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1-ին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ենթակետով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lastRenderedPageBreak/>
              <w:t>նախատեսված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ժամկետը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սահմանվել</w:t>
            </w:r>
            <w:proofErr w:type="spellEnd"/>
            <w:r w:rsidRPr="001E21A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է </w:t>
            </w:r>
            <w:r w:rsidRPr="001E21A1">
              <w:rPr>
                <w:rFonts w:ascii="GHEA Grapalat" w:hAnsi="GHEA Grapalat"/>
                <w:sz w:val="22"/>
                <w:szCs w:val="22"/>
              </w:rPr>
              <w:t>20</w:t>
            </w:r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19</w:t>
            </w:r>
            <w:r w:rsidRPr="001E21A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փետրվարի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</w:rPr>
              <w:t xml:space="preserve"> 1-ը</w:t>
            </w:r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9F5CB5" w:rsidRPr="001E21A1" w:rsidRDefault="009F5CB5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F5CB5" w:rsidRPr="001E21A1" w:rsidRDefault="009F5CB5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F5CB5" w:rsidRPr="001E21A1" w:rsidRDefault="009F5CB5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F5CB5" w:rsidRPr="001E21A1" w:rsidRDefault="009F5CB5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6.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Թողնվել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անփոփոխ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քանի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Ստորաբաժանումը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ստեղծվելու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ՀՀ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կառուցվածքում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հանդես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գալու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վերջինիս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անունից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հետևաբար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3-րդ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կետի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2-րդ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ենթակետում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խոսքը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անվամբ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անհատականացման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միջոցների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է:</w:t>
            </w:r>
          </w:p>
          <w:p w:rsidR="009F5CB5" w:rsidRPr="001E21A1" w:rsidRDefault="009F5CB5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9F5CB5" w:rsidRPr="001E21A1" w:rsidRDefault="009F5CB5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7.</w:t>
            </w: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val="en-US" w:eastAsia="en-US"/>
              </w:rPr>
              <w:t>Հ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իմնարկին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անհատույց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օգտագործման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իրավունքով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գույք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տրամադրելու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eastAsia="en-US"/>
              </w:rPr>
              <w:t>պայմանագրեր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val="en-US" w:eastAsia="en-US"/>
              </w:rPr>
              <w:t>չկան</w:t>
            </w:r>
            <w:proofErr w:type="spellEnd"/>
            <w:r w:rsidRPr="001E21A1">
              <w:rPr>
                <w:rFonts w:ascii="GHEA Grapalat" w:eastAsia="Calibri" w:hAnsi="GHEA Grapalat"/>
                <w:spacing w:val="-6"/>
                <w:sz w:val="22"/>
                <w:szCs w:val="22"/>
                <w:lang w:val="en-US" w:eastAsia="en-US"/>
              </w:rPr>
              <w:t>:</w:t>
            </w:r>
          </w:p>
          <w:p w:rsidR="001150F7" w:rsidRPr="001E21A1" w:rsidRDefault="001150F7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50F7" w:rsidRPr="001E21A1" w:rsidRDefault="001150F7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B2" w:rsidRPr="001E21A1" w:rsidRDefault="008D36B2" w:rsidP="008136FE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35F7F" w:rsidRPr="006E0DFA" w:rsidTr="000943C6">
        <w:trPr>
          <w:trHeight w:val="2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F" w:rsidRPr="001E21A1" w:rsidRDefault="00E35F7F" w:rsidP="00143B21">
            <w:pPr>
              <w:jc w:val="center"/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lastRenderedPageBreak/>
              <w:t xml:space="preserve">ՀՀ </w:t>
            </w:r>
            <w:proofErr w:type="spellStart"/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>քաղաքացիական</w:t>
            </w:r>
            <w:proofErr w:type="spellEnd"/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>ծառայության</w:t>
            </w:r>
            <w:proofErr w:type="spellEnd"/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>գրասենյակ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F5" w:rsidRPr="001E21A1" w:rsidRDefault="002F40F5" w:rsidP="00F04650">
            <w:pPr>
              <w:spacing w:line="276" w:lineRule="auto"/>
              <w:jc w:val="both"/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</w:pPr>
            <w:r w:rsidRPr="001E21A1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Բարեփոխումների համատեքստում կարևորելով սույն նախաձեռնությունը և դրա կարգավորման նպատակն ու անհրաժեշտությունը՝ պետք է նշել, որ առկա են որոշակի իրավական խնդիրներ, մասնավորապես՝</w:t>
            </w:r>
          </w:p>
          <w:p w:rsidR="009F5CB5" w:rsidRPr="001E21A1" w:rsidRDefault="00F04650" w:rsidP="00F04650">
            <w:pPr>
              <w:spacing w:after="160" w:line="276" w:lineRule="auto"/>
              <w:jc w:val="both"/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</w:pPr>
            <w:r w:rsidRPr="001E21A1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1. </w:t>
            </w:r>
            <w:r w:rsidR="002F40F5" w:rsidRPr="001E21A1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«Պետական կառավարչական հիմնարկների մասին» օրենքին հղումը պետք է հանել, քանի որ «Արտասահմանյան ֆինանսական ծրագրերի կառավարման կենտրոն» պետական </w:t>
            </w:r>
            <w:r w:rsidR="002F40F5" w:rsidRPr="001E21A1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lastRenderedPageBreak/>
              <w:t>հիմնարկը կառավարչական հիմնարկ չէ և նրա վրա չի տարածվել նշվ</w:t>
            </w:r>
            <w:r w:rsidRPr="001E21A1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ած օրենքի իրավակարգավորումները։</w:t>
            </w:r>
          </w:p>
          <w:p w:rsidR="00F04650" w:rsidRPr="001E21A1" w:rsidRDefault="00F04650" w:rsidP="00F04650">
            <w:pPr>
              <w:spacing w:after="160" w:line="276" w:lineRule="auto"/>
              <w:jc w:val="both"/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</w:pPr>
            <w:r w:rsidRPr="001E21A1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 2.</w:t>
            </w:r>
            <w:r w:rsidR="002F40F5" w:rsidRPr="001E21A1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Անհրաժեշտ է հստակեցնել ֆինանսների նախարարության կազմում ստեղծվելիք ստորաբաժանման կարգավիճակը՝ կառուցվածքային ստորաբաժանում, թե գրասենյակ, քանի որ «Կառավարչական իրավահարաբերությունների կարգավորման մասին» օրենքի համաձայն պետական մարմնի կառուցվածքում ընդգրկվում են կառուցվածքային ստորաբաժանումները և գրասենյակները, ընդ որում՝ նույն օրենքի 8-րդ հոդվածի համաձայն՝ Գրասենյակը օրենքով սահմանված դեպքերում և կարգով իրականացնում է պետական կառավարման և (կամ) պետական քաղաքականության առանձին բնագավառի գործառույթներ (այդ թվում՝ վերահսկողական, պետական ծառայությունների մատուցման) կամ ընդունում է արտաքին ներգործության ակտեր, ունի ինքնուրույն, հստակ ձևակերպված սպառիչ խնդիրներ և նպատակներ, պատասխանատու է այդ խնդիրների իրականացման համար:</w:t>
            </w:r>
          </w:p>
          <w:p w:rsidR="002F40F5" w:rsidRPr="001E21A1" w:rsidRDefault="00F04650" w:rsidP="00F04650">
            <w:pPr>
              <w:spacing w:after="160" w:line="276" w:lineRule="auto"/>
              <w:jc w:val="both"/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</w:pPr>
            <w:r w:rsidRPr="001E21A1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3. </w:t>
            </w:r>
            <w:r w:rsidR="002F40F5" w:rsidRPr="001E21A1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Որոշման 2-րդ կետի 1-ին ենթակետն օրենքի կարգավորման առարկա է, քանի որ քաղաքացիական ծառայող համարվելը և վարձատրության պահպանումը պետք է կարգավորվեն օրենքով, որպեսզի հնարավոր լինի ապահովել և աշխատանքային ստաժի և կարգավիճակի և վարձատրության իրավահաջորդության հարցերը։</w:t>
            </w:r>
          </w:p>
          <w:p w:rsidR="00E35F7F" w:rsidRPr="001E21A1" w:rsidRDefault="002F40F5" w:rsidP="00F04650">
            <w:pPr>
              <w:tabs>
                <w:tab w:val="left" w:pos="0"/>
              </w:tabs>
              <w:spacing w:before="60" w:line="276" w:lineRule="auto"/>
              <w:jc w:val="both"/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</w:pPr>
            <w:r w:rsidRPr="001E21A1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Բացի այդ ուսումնասիրելով «Արտասահմանյան ֆինանսական ծրագրերի կառավարման կենտրոն» պետական հիմնարկի լիազորությունների շրջանակը և հաշվի առնելով սույն որոշման </w:t>
            </w:r>
            <w:r w:rsidRPr="001E21A1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lastRenderedPageBreak/>
              <w:t>կարգավորման առարկայից դուրս հարցերի շրջանակը, նպատակահարմար է դիտարկել «Արտասահմանյան ֆինանսական ծրագրերի կառավարման կենտրոն» պետական հիմնարկը Ֆինանսների նախարարության կառուցվածքում գրասենյակի կարգավիճակով ստորաբաժանում ստեղծելու հարցը։ Այս դեպքում անհրաժեշտ կլինի օրենքի նախագիծ, որտեղ կկարգավորվեն բոլոր վերը նշված հարցերը և առանց իրավական հետևանքների կապահովվի կարգավիճակի փոփոխությունը։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5" w:rsidRPr="001E21A1" w:rsidRDefault="009F5CB5" w:rsidP="008136F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F5CB5" w:rsidRPr="001E21A1" w:rsidRDefault="009F5CB5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sz w:val="22"/>
                <w:szCs w:val="22"/>
                <w:lang w:val="hy-AM"/>
              </w:rPr>
              <w:t xml:space="preserve">1.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Թողնվել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անփոփոխ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նկատի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ունենալով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նորմատիվ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իրավական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ակտը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պետք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ունենա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նախաբան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 w:rsidR="001E21A1" w:rsidRPr="001E21A1"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որում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նշվում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օրենսդրական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իրավական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ակտի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հոդվածը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կամ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մասը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որը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ներառում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Սահմանադրության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6-րդ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2-րդ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մասով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սահմանված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լիազորող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նորմեր</w:t>
            </w:r>
            <w:proofErr w:type="spellEnd"/>
            <w:r w:rsidR="001E21A1" w:rsidRPr="001E21A1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  <w:r w:rsid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է: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2-րդ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կետը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խմբագրվել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է:</w:t>
            </w: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Թողնվել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անփոփոխ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քանի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առաջարկվող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կարգավորումը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հակասում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օրենսդրությանը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1E21A1" w:rsidRPr="001E21A1" w:rsidRDefault="001E21A1" w:rsidP="008136F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Միաժամանակ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հայտնում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ենք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նախարարությանը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կազմում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գրասենյակի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կարգավիճակով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ստորաբաժանման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ստեղծումը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համարում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ենք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նպատակահարմար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քանի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Հիմնարկի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գործառույթների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իրականացումը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հնարավոր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ապահովել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վարչության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միջոցով</w:t>
            </w:r>
            <w:proofErr w:type="spellEnd"/>
            <w:r w:rsidRPr="001E21A1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7F" w:rsidRPr="001E21A1" w:rsidRDefault="00E35F7F" w:rsidP="008136FE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051344" w:rsidRPr="006627E1" w:rsidRDefault="00051344">
      <w:pPr>
        <w:rPr>
          <w:rFonts w:ascii="GHEA Grapalat" w:hAnsi="GHEA Grapalat"/>
          <w:sz w:val="22"/>
          <w:szCs w:val="22"/>
          <w:lang w:val="hy-AM"/>
        </w:rPr>
      </w:pPr>
    </w:p>
    <w:sectPr w:rsidR="00051344" w:rsidRPr="006627E1" w:rsidSect="00752EBC">
      <w:pgSz w:w="15840" w:h="12240" w:orient="landscape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5B68"/>
    <w:multiLevelType w:val="hybridMultilevel"/>
    <w:tmpl w:val="CA664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77C7F"/>
    <w:multiLevelType w:val="hybridMultilevel"/>
    <w:tmpl w:val="7F0679F2"/>
    <w:lvl w:ilvl="0" w:tplc="4C246F40">
      <w:start w:val="1"/>
      <w:numFmt w:val="decimal"/>
      <w:lvlText w:val="%1."/>
      <w:lvlJc w:val="left"/>
      <w:pPr>
        <w:ind w:left="717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>
      <w:start w:val="1"/>
      <w:numFmt w:val="lowerRoman"/>
      <w:lvlText w:val="%6."/>
      <w:lvlJc w:val="right"/>
      <w:pPr>
        <w:ind w:left="4317" w:hanging="180"/>
      </w:pPr>
    </w:lvl>
    <w:lvl w:ilvl="6" w:tplc="0409000F">
      <w:start w:val="1"/>
      <w:numFmt w:val="decimal"/>
      <w:lvlText w:val="%7."/>
      <w:lvlJc w:val="left"/>
      <w:pPr>
        <w:ind w:left="5037" w:hanging="360"/>
      </w:pPr>
    </w:lvl>
    <w:lvl w:ilvl="7" w:tplc="04090019">
      <w:start w:val="1"/>
      <w:numFmt w:val="lowerLetter"/>
      <w:lvlText w:val="%8."/>
      <w:lvlJc w:val="left"/>
      <w:pPr>
        <w:ind w:left="5757" w:hanging="360"/>
      </w:pPr>
    </w:lvl>
    <w:lvl w:ilvl="8" w:tplc="0409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95"/>
    <w:rsid w:val="00051344"/>
    <w:rsid w:val="00080480"/>
    <w:rsid w:val="000943C6"/>
    <w:rsid w:val="000A027A"/>
    <w:rsid w:val="000A66A8"/>
    <w:rsid w:val="000B1B79"/>
    <w:rsid w:val="000D6A27"/>
    <w:rsid w:val="001150F7"/>
    <w:rsid w:val="00130C4C"/>
    <w:rsid w:val="00132FA3"/>
    <w:rsid w:val="00143B21"/>
    <w:rsid w:val="001E21A1"/>
    <w:rsid w:val="00262DC3"/>
    <w:rsid w:val="002F40F5"/>
    <w:rsid w:val="004A2792"/>
    <w:rsid w:val="00526DEC"/>
    <w:rsid w:val="00554174"/>
    <w:rsid w:val="00622551"/>
    <w:rsid w:val="006627E1"/>
    <w:rsid w:val="006E0DFA"/>
    <w:rsid w:val="007709C4"/>
    <w:rsid w:val="008D36B2"/>
    <w:rsid w:val="00900B89"/>
    <w:rsid w:val="00913187"/>
    <w:rsid w:val="009F5CB5"/>
    <w:rsid w:val="00A06CD9"/>
    <w:rsid w:val="00A27518"/>
    <w:rsid w:val="00A75846"/>
    <w:rsid w:val="00A8725E"/>
    <w:rsid w:val="00B060EB"/>
    <w:rsid w:val="00B4762F"/>
    <w:rsid w:val="00C54818"/>
    <w:rsid w:val="00C82D82"/>
    <w:rsid w:val="00C83641"/>
    <w:rsid w:val="00CB1D35"/>
    <w:rsid w:val="00CF5A91"/>
    <w:rsid w:val="00D677E0"/>
    <w:rsid w:val="00DA3E00"/>
    <w:rsid w:val="00E06296"/>
    <w:rsid w:val="00E35F7F"/>
    <w:rsid w:val="00E46832"/>
    <w:rsid w:val="00E57F1E"/>
    <w:rsid w:val="00EE076A"/>
    <w:rsid w:val="00F04650"/>
    <w:rsid w:val="00F5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5D47"/>
  <w15:docId w15:val="{281D8316-180B-4846-99A5-131E230D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F54D95"/>
    <w:pPr>
      <w:spacing w:after="120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F54D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uiPriority w:val="99"/>
    <w:locked/>
    <w:rsid w:val="00F54D9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B1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A758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27E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https://mul.gov.am/tasks/docs/attachment.php?id=491135&amp;fn=Ampopatert_gov.docx&amp;out=1&amp;token=4939a7961d2b19f52865</cp:keywords>
</cp:coreProperties>
</file>