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6F" w:rsidRPr="005B4B85" w:rsidRDefault="00FC4044" w:rsidP="0079318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B4B85">
        <w:rPr>
          <w:rFonts w:ascii="GHEA Grapalat" w:hAnsi="GHEA Grapalat"/>
          <w:b/>
          <w:sz w:val="24"/>
          <w:szCs w:val="24"/>
          <w:lang w:val="hy-AM"/>
        </w:rPr>
        <w:t>Ա Մ Փ Ո Փ Ա Թ Ե Ր Թ</w:t>
      </w:r>
    </w:p>
    <w:p w:rsidR="00FC4044" w:rsidRPr="00B46423" w:rsidRDefault="0037426C" w:rsidP="0079318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B4B85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քաղաքացիական դատավարության օրենսգրքում փոփոխություն կատարելու  մասին» օրենքի </w:t>
      </w:r>
      <w:r w:rsidR="00FC4044" w:rsidRPr="005B4B85">
        <w:rPr>
          <w:rFonts w:ascii="GHEA Grapalat" w:hAnsi="GHEA Grapalat"/>
          <w:sz w:val="24"/>
          <w:szCs w:val="24"/>
          <w:lang w:val="hy-AM"/>
        </w:rPr>
        <w:t xml:space="preserve">նախագծի վերաբերյալ </w:t>
      </w:r>
      <w:r w:rsidR="00F479D1" w:rsidRPr="00F479D1">
        <w:rPr>
          <w:rFonts w:ascii="GHEA Grapalat" w:hAnsi="GHEA Grapalat"/>
          <w:sz w:val="24"/>
          <w:szCs w:val="24"/>
          <w:lang w:val="hy-AM"/>
        </w:rPr>
        <w:t xml:space="preserve">վարչապետի աշխատակազմից </w:t>
      </w:r>
      <w:r w:rsidR="00B46423" w:rsidRPr="00B46423">
        <w:rPr>
          <w:rFonts w:ascii="GHEA Grapalat" w:hAnsi="GHEA Grapalat"/>
          <w:sz w:val="24"/>
          <w:szCs w:val="24"/>
          <w:lang w:val="hy-AM"/>
        </w:rPr>
        <w:t xml:space="preserve">ստացված դիտողությունների և առաջարկությունների </w:t>
      </w:r>
    </w:p>
    <w:p w:rsidR="00FC4044" w:rsidRPr="005B4B85" w:rsidRDefault="00FC4044" w:rsidP="0079318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/>
      </w:tblPr>
      <w:tblGrid>
        <w:gridCol w:w="3189"/>
        <w:gridCol w:w="4736"/>
        <w:gridCol w:w="3343"/>
        <w:gridCol w:w="3972"/>
      </w:tblGrid>
      <w:tr w:rsidR="00012A73" w:rsidRPr="00D8584A" w:rsidTr="00926925">
        <w:tc>
          <w:tcPr>
            <w:tcW w:w="3189" w:type="dxa"/>
          </w:tcPr>
          <w:p w:rsidR="00D8584A" w:rsidRPr="005B4B85" w:rsidRDefault="00D8584A" w:rsidP="00793183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Մարմինը</w:t>
            </w:r>
          </w:p>
        </w:tc>
        <w:tc>
          <w:tcPr>
            <w:tcW w:w="4736" w:type="dxa"/>
          </w:tcPr>
          <w:p w:rsidR="00D8584A" w:rsidRPr="005B4B85" w:rsidRDefault="00D8584A" w:rsidP="00793183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Առաջարկությունների և դիտողությունների բովանդակությունը</w:t>
            </w:r>
          </w:p>
        </w:tc>
        <w:tc>
          <w:tcPr>
            <w:tcW w:w="3343" w:type="dxa"/>
          </w:tcPr>
          <w:p w:rsidR="00D8584A" w:rsidRPr="005B4B85" w:rsidRDefault="00D8584A" w:rsidP="00793183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Առաջարկությունների և դիտողությունների քննարկման արդյունքները</w:t>
            </w:r>
          </w:p>
        </w:tc>
        <w:tc>
          <w:tcPr>
            <w:tcW w:w="3972" w:type="dxa"/>
          </w:tcPr>
          <w:p w:rsidR="00D8584A" w:rsidRPr="00D43373" w:rsidRDefault="00D43373" w:rsidP="00793183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Կատարված փոփոխությունները</w:t>
            </w:r>
          </w:p>
        </w:tc>
      </w:tr>
      <w:tr w:rsidR="00012A73" w:rsidRPr="00507E04" w:rsidTr="00926925">
        <w:tc>
          <w:tcPr>
            <w:tcW w:w="3189" w:type="dxa"/>
          </w:tcPr>
          <w:p w:rsidR="00D8584A" w:rsidRPr="00F479D1" w:rsidRDefault="00F479D1" w:rsidP="00793183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9D1">
              <w:rPr>
                <w:rFonts w:ascii="GHEA Grapalat" w:hAnsi="GHEA Grapalat"/>
                <w:sz w:val="24"/>
                <w:szCs w:val="24"/>
              </w:rPr>
              <w:t xml:space="preserve">Վարչապետի աշխատակազմի </w:t>
            </w:r>
            <w:r w:rsidRPr="00F479D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իրավաբանական</w:t>
            </w:r>
            <w:r w:rsidRPr="00F479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վարչության</w:t>
            </w:r>
          </w:p>
          <w:p w:rsidR="00D8584A" w:rsidRPr="00F479D1" w:rsidRDefault="00F479D1" w:rsidP="00793183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9D1">
              <w:rPr>
                <w:rFonts w:ascii="GHEA Grapalat" w:hAnsi="GHEA Grapalat"/>
                <w:sz w:val="24"/>
                <w:szCs w:val="24"/>
              </w:rPr>
              <w:t>11</w:t>
            </w:r>
            <w:r w:rsidRPr="00F479D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F479D1">
              <w:rPr>
                <w:rFonts w:ascii="GHEA Grapalat" w:hAnsi="GHEA Grapalat"/>
                <w:sz w:val="24"/>
                <w:szCs w:val="24"/>
              </w:rPr>
              <w:t>02</w:t>
            </w:r>
            <w:r w:rsidR="00D8584A" w:rsidRPr="00F479D1">
              <w:rPr>
                <w:rFonts w:ascii="GHEA Grapalat" w:hAnsi="GHEA Grapalat"/>
                <w:sz w:val="24"/>
                <w:szCs w:val="24"/>
                <w:lang w:val="hy-AM"/>
              </w:rPr>
              <w:t>.201</w:t>
            </w:r>
            <w:r w:rsidRPr="00F479D1">
              <w:rPr>
                <w:rFonts w:ascii="GHEA Grapalat" w:hAnsi="GHEA Grapalat"/>
                <w:sz w:val="24"/>
                <w:szCs w:val="24"/>
              </w:rPr>
              <w:t>9</w:t>
            </w:r>
            <w:r w:rsidR="00D8584A" w:rsidRPr="00F479D1">
              <w:rPr>
                <w:rFonts w:ascii="GHEA Grapalat" w:hAnsi="GHEA Grapalat"/>
                <w:sz w:val="24"/>
                <w:szCs w:val="24"/>
                <w:lang w:val="hy-AM"/>
              </w:rPr>
              <w:t xml:space="preserve">թ N </w:t>
            </w:r>
            <w:r w:rsidRPr="00F479D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01/10.1/5515-2019 </w:t>
            </w:r>
            <w:r w:rsidR="00D8584A" w:rsidRPr="00F479D1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736" w:type="dxa"/>
          </w:tcPr>
          <w:p w:rsidR="00341B87" w:rsidRPr="00341B87" w:rsidRDefault="00341B87" w:rsidP="00793183">
            <w:pPr>
              <w:pStyle w:val="ListParagraph"/>
              <w:numPr>
                <w:ilvl w:val="0"/>
                <w:numId w:val="18"/>
              </w:numPr>
              <w:tabs>
                <w:tab w:val="left" w:pos="900"/>
                <w:tab w:val="left" w:pos="1080"/>
              </w:tabs>
              <w:spacing w:line="360" w:lineRule="auto"/>
              <w:ind w:left="0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տարբերություն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կարգավորման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դատավարության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օրենսգրքի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խմբագրությամբ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շարադրվող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302-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մասով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առաջարկվում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փոփոխել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ակտի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պատճառաբանական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պահանջները</w:t>
            </w:r>
            <w:r w:rsidRPr="00341B87">
              <w:rPr>
                <w:rFonts w:ascii="GHEA Grapalat" w:hAnsi="GHEA Grapalat" w:cs="Tahoma"/>
                <w:sz w:val="24"/>
                <w:szCs w:val="24"/>
                <w:lang w:val="hy-AM"/>
              </w:rPr>
              <w:t>։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Հաշվի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առնելով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դատավարությունում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պարզեցված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վարույթի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գործերի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քննությանն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բնորոշ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առանձնահատկությունները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այդուհանդերձ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գտնում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ենք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առաջարկվող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կարգավորումը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կարող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մեկնաբանվել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որպես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անձի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արդար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դատաքննության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արդյունավետ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Pr="00341B87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սահմանադրորեն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երաշխավորված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իրավունքի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Սահմանադրության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61-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63-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հոդվածներ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):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Այս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առումով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հատկանշական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այն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հանգամանքը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սահմանադրական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դատարանի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շարք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որոշումներում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ՍԴՈ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>–690,</w:t>
            </w:r>
            <w:r w:rsidRPr="00341B8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ՍԴՈ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>–691,</w:t>
            </w:r>
            <w:r w:rsidRPr="00341B8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ՍԴՈ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>–754,</w:t>
            </w:r>
            <w:r w:rsidRPr="00341B8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ՍԴՈ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>–896,</w:t>
            </w:r>
            <w:r w:rsidRPr="00341B8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ՍԴՈ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>–1049,</w:t>
            </w:r>
            <w:r w:rsidRPr="00341B8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ՍԴՈ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–1074)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անդրադարձել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ակտի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պատճառաբանված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լինելու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հարցին։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Մասնավորապես՝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սահմանադրական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դատարանն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` 2007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ապրիլի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9-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թիվ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690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մեջ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հստակ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դիրքորոշումներ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արտահայտել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դատական</w:t>
            </w:r>
            <w:r w:rsidRPr="00341B87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ակտի</w:t>
            </w:r>
            <w:r w:rsidRPr="00341B87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պատճառաբանված</w:t>
            </w:r>
            <w:r w:rsidRPr="00341B87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լինելու</w:t>
            </w:r>
            <w:r w:rsidRPr="00341B87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սահմանադրաիրավական</w:t>
            </w:r>
            <w:r w:rsidRPr="00341B87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անհրաժեշտության</w:t>
            </w:r>
            <w:r w:rsidRPr="00341B87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վերաբերյալ։</w:t>
            </w:r>
          </w:p>
          <w:p w:rsidR="00341B87" w:rsidRPr="00341B87" w:rsidRDefault="00341B87" w:rsidP="00793183">
            <w:pPr>
              <w:pStyle w:val="ListParagraph"/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8584A" w:rsidRPr="00341B87" w:rsidRDefault="00D8584A" w:rsidP="00793183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43" w:type="dxa"/>
          </w:tcPr>
          <w:p w:rsidR="00D8584A" w:rsidRPr="00A912DC" w:rsidRDefault="00A912DC" w:rsidP="00793183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Չի ընդունվել:</w:t>
            </w:r>
          </w:p>
        </w:tc>
        <w:tc>
          <w:tcPr>
            <w:tcW w:w="3972" w:type="dxa"/>
          </w:tcPr>
          <w:p w:rsidR="00574B82" w:rsidRDefault="0012090F" w:rsidP="007931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574B82">
              <w:rPr>
                <w:rFonts w:ascii="GHEA Grapalat" w:hAnsi="GHEA Grapalat"/>
                <w:sz w:val="24"/>
                <w:szCs w:val="24"/>
              </w:rPr>
              <w:t xml:space="preserve">իջազգային փորձի և </w:t>
            </w:r>
            <w:r w:rsidR="00E327F8">
              <w:rPr>
                <w:rFonts w:ascii="GHEA Grapalat" w:hAnsi="GHEA Grapalat"/>
                <w:sz w:val="24"/>
                <w:szCs w:val="24"/>
              </w:rPr>
              <w:t>Մարդու</w:t>
            </w:r>
            <w:r w:rsidR="00E327F8" w:rsidRPr="00574B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327F8">
              <w:rPr>
                <w:rFonts w:ascii="GHEA Grapalat" w:hAnsi="GHEA Grapalat"/>
                <w:sz w:val="24"/>
                <w:szCs w:val="24"/>
              </w:rPr>
              <w:t>իրավունքների</w:t>
            </w:r>
            <w:r w:rsidR="00E327F8" w:rsidRPr="00574B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327F8">
              <w:rPr>
                <w:rFonts w:ascii="GHEA Grapalat" w:hAnsi="GHEA Grapalat"/>
                <w:sz w:val="24"/>
                <w:szCs w:val="24"/>
              </w:rPr>
              <w:t>եվրոպական</w:t>
            </w:r>
            <w:r w:rsidR="00E327F8" w:rsidRPr="00574B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327F8">
              <w:rPr>
                <w:rFonts w:ascii="GHEA Grapalat" w:hAnsi="GHEA Grapalat"/>
                <w:sz w:val="24"/>
                <w:szCs w:val="24"/>
              </w:rPr>
              <w:t>դատարանի</w:t>
            </w:r>
            <w:r w:rsidR="00E327F8" w:rsidRPr="00574B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327F8">
              <w:rPr>
                <w:rFonts w:ascii="GHEA Grapalat" w:hAnsi="GHEA Grapalat"/>
                <w:sz w:val="24"/>
                <w:szCs w:val="24"/>
              </w:rPr>
              <w:t>որոշումների</w:t>
            </w:r>
            <w:r w:rsidR="00574B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327F8">
              <w:rPr>
                <w:rFonts w:ascii="GHEA Grapalat" w:hAnsi="GHEA Grapalat"/>
                <w:sz w:val="24"/>
                <w:szCs w:val="24"/>
              </w:rPr>
              <w:t>ուսումնասիրություն</w:t>
            </w:r>
            <w:r w:rsidR="00574B82">
              <w:rPr>
                <w:rFonts w:ascii="GHEA Grapalat" w:hAnsi="GHEA Grapalat"/>
                <w:sz w:val="24"/>
                <w:szCs w:val="24"/>
              </w:rPr>
              <w:t>ը հանգում է հետևյալին.</w:t>
            </w:r>
            <w:r w:rsidR="00E327F8" w:rsidRPr="00574B82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75543A" w:rsidRPr="0075543A" w:rsidRDefault="0075543A" w:rsidP="007931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D3B1A">
              <w:rPr>
                <w:rFonts w:ascii="GHEA Grapalat" w:hAnsi="GHEA Grapalat"/>
                <w:b/>
                <w:lang w:val="hy-AM"/>
              </w:rPr>
              <w:t>Ճապոնիայ</w:t>
            </w:r>
            <w:r>
              <w:rPr>
                <w:rFonts w:ascii="GHEA Grapalat" w:hAnsi="GHEA Grapalat"/>
                <w:b/>
                <w:lang w:val="hy-AM"/>
              </w:rPr>
              <w:t xml:space="preserve">ի </w:t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դատավարության օրենսգիրքը</w:t>
            </w:r>
            <w:r w:rsidRPr="0075543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նախատեսում է պարզեցված ընթացակարգերով գործի քննություն: Այսպես, Ճապոնիայի քաղաքացիական </w:t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դատավարության օրենսգրքի 270-րդ հոդվածի համաձայն</w:t>
            </w:r>
            <w:r w:rsidRPr="0075543A">
              <w:rPr>
                <w:rStyle w:val="FootnoteReference"/>
                <w:rFonts w:ascii="GHEA Grapalat" w:hAnsi="GHEA Grapalat"/>
                <w:sz w:val="24"/>
                <w:szCs w:val="24"/>
                <w:lang w:val="hy-AM"/>
              </w:rPr>
              <w:footnoteReference w:id="1"/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 xml:space="preserve">՝ </w:t>
            </w:r>
            <w:r w:rsidRPr="0075543A">
              <w:rPr>
                <w:rFonts w:ascii="GHEA Grapalat" w:hAnsi="GHEA Grapalat"/>
                <w:sz w:val="24"/>
                <w:szCs w:val="24"/>
              </w:rPr>
              <w:t xml:space="preserve">Դատարանը գործի առավել արագ լուծման համար կարող է կիրառել պարզեցված ընթացակարգեր: Ընդ որում, առկա է պարզեցված ընթացակարգի չորս տեսակ՝ 1.400.000 յենը չգերազանցող պահանջներով գործերի քննություն, վճարման կարգադրությամբ գործերի քննություն, փոքր պահանջներով գործեր՝ 600.000 յենը չգերազանցող </w:t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75543A">
              <w:rPr>
                <w:rFonts w:ascii="GHEA Grapalat" w:hAnsi="GHEA Grapalat"/>
                <w:sz w:val="24"/>
                <w:szCs w:val="24"/>
              </w:rPr>
              <w:t>small claim cases</w:t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75543A">
              <w:rPr>
                <w:rFonts w:ascii="GHEA Grapalat" w:hAnsi="GHEA Grapalat"/>
                <w:sz w:val="24"/>
                <w:szCs w:val="24"/>
              </w:rPr>
              <w:t xml:space="preserve"> և կոնկրետ վճարումներ կատարելու վերաբերյալ գործեր:  Այս չորս ընթացակարգերի հիմնական ընդհանրությունն այն է, որ գործերը քննվում են կարճ </w:t>
            </w:r>
            <w:r w:rsidRPr="0075543A">
              <w:rPr>
                <w:rFonts w:ascii="GHEA Grapalat" w:hAnsi="GHEA Grapalat"/>
                <w:sz w:val="24"/>
                <w:szCs w:val="24"/>
              </w:rPr>
              <w:lastRenderedPageBreak/>
              <w:t xml:space="preserve">ժամկետներում, դատական նիստ հրավիրվում է բացառիկ դեպքերում, և հիմնականում դատական ակտերին չի ներկայացվում պատճառաբանվածության հատկանիշ: Օրինակ, փոքր պահանջներով գործերի քննության ընթացքում հակընդդեմ հայցի ներկայացում չի թույլատրվում, այս գործերի քննության դեպքում վճիռը կայացվում է անհապաղ և դատարանը պարտավոր չէ այն պատճառաբանել: </w:t>
            </w:r>
          </w:p>
          <w:p w:rsidR="0075543A" w:rsidRPr="0075543A" w:rsidRDefault="0075543A" w:rsidP="00793183">
            <w:pPr>
              <w:spacing w:line="360" w:lineRule="auto"/>
              <w:ind w:firstLine="9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5543A">
              <w:rPr>
                <w:rFonts w:ascii="GHEA Grapalat" w:hAnsi="GHEA Grapalat"/>
                <w:sz w:val="24"/>
                <w:szCs w:val="24"/>
              </w:rPr>
              <w:t xml:space="preserve">1.400.000 յենը չգերազանցող պահանջներով գործերի քննության դեպքում կայացվող դատականը ակտի Ճապոնիայի քաղաքացիական դատավարության 280-րդ </w:t>
            </w:r>
            <w:r w:rsidRPr="0075543A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հոդվածի համաձայն՝ դատական ակտ կազմելիս բավարար է նշել հայցի առարկան, հայցադիմումի պատասխանում նշված այն փաստարկները, որոնց պատճառով հայցը մերժվում է: </w:t>
            </w:r>
          </w:p>
          <w:p w:rsidR="0075543A" w:rsidRPr="0075543A" w:rsidRDefault="0075543A" w:rsidP="007931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5543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Լիտվայի</w:t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 xml:space="preserve"> քաղաքացիական դատավարության օրենսգրքի 441-րդ հոդվածը</w:t>
            </w:r>
            <w:r w:rsidRPr="0075543A">
              <w:rPr>
                <w:rStyle w:val="FootnoteReference"/>
                <w:rFonts w:ascii="GHEA Grapalat" w:hAnsi="GHEA Grapalat"/>
                <w:sz w:val="24"/>
                <w:szCs w:val="24"/>
                <w:lang w:val="hy-AM"/>
              </w:rPr>
              <w:footnoteReference w:id="2"/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43A">
              <w:rPr>
                <w:rFonts w:ascii="GHEA Grapalat" w:hAnsi="GHEA Grapalat"/>
                <w:sz w:val="24"/>
                <w:szCs w:val="24"/>
              </w:rPr>
              <w:t xml:space="preserve">նախատեսում է փոքր պահանջներով </w:t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 xml:space="preserve">(1000 </w:t>
            </w:r>
            <w:r w:rsidRPr="0075543A">
              <w:rPr>
                <w:rFonts w:ascii="GHEA Grapalat" w:hAnsi="GHEA Grapalat"/>
                <w:sz w:val="24"/>
                <w:szCs w:val="24"/>
              </w:rPr>
              <w:t>լիտասը չգերազանցող</w:t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75543A">
              <w:rPr>
                <w:rFonts w:ascii="GHEA Grapalat" w:hAnsi="GHEA Grapalat"/>
                <w:sz w:val="24"/>
                <w:szCs w:val="24"/>
              </w:rPr>
              <w:t xml:space="preserve"> գործերով պարզեցված քննություն: Ընդ որում, այս գործերով կարող է հրավիրվել դատական նիստ, եթե կողմերից մեկը նման միջնորդությամբ դիմում է դատարանին: Ինչ վերաբերում է այս գործերով կայացվող դատական ակտին ներկայացվող պահանջներին, ապա փոքր </w:t>
            </w:r>
            <w:r w:rsidRPr="0075543A">
              <w:rPr>
                <w:rFonts w:ascii="GHEA Grapalat" w:hAnsi="GHEA Grapalat"/>
                <w:sz w:val="24"/>
                <w:szCs w:val="24"/>
              </w:rPr>
              <w:lastRenderedPageBreak/>
              <w:t>պահանջներով գործերով դատարանը կազմում է դատական ակտ, որը ներառում է ներածական մաս և եզրափակիչ մաս, որում շատ հակիրճ նշվում են հիմնավորումները:</w:t>
            </w:r>
          </w:p>
          <w:p w:rsidR="0075543A" w:rsidRPr="0075543A" w:rsidRDefault="0075543A" w:rsidP="007931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5543A">
              <w:rPr>
                <w:rFonts w:ascii="GHEA Grapalat" w:hAnsi="GHEA Grapalat"/>
                <w:b/>
                <w:sz w:val="24"/>
                <w:szCs w:val="24"/>
              </w:rPr>
              <w:t xml:space="preserve">Էստոնիայի </w:t>
            </w:r>
            <w:r w:rsidRPr="0075543A">
              <w:rPr>
                <w:rFonts w:ascii="GHEA Grapalat" w:hAnsi="GHEA Grapalat"/>
                <w:sz w:val="24"/>
                <w:szCs w:val="24"/>
              </w:rPr>
              <w:t>քաղաքացիական դատավարության օրենսգրքի</w:t>
            </w:r>
            <w:r w:rsidRPr="0075543A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id="3"/>
            </w:r>
            <w:r w:rsidRPr="0075543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5543A">
              <w:rPr>
                <w:rFonts w:ascii="GHEA Grapalat" w:hAnsi="GHEA Grapalat"/>
                <w:sz w:val="24"/>
                <w:szCs w:val="24"/>
              </w:rPr>
              <w:t>405-րդ հոդվածի համաձայն՝ 4000</w:t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5543A">
              <w:rPr>
                <w:rFonts w:ascii="GHEA Grapalat" w:hAnsi="GHEA Grapalat"/>
                <w:sz w:val="24"/>
                <w:szCs w:val="24"/>
              </w:rPr>
              <w:t>եվրոն չգերազանցող պահանջներով գործերը քննվում են պարզեցված ընթացակարգով: Ընդ որում, նույն հոդվածում նշված են այս վարույթով գործի քննության առանձնահատակությունները, որոնց թվին են դասվում՝</w:t>
            </w:r>
          </w:p>
          <w:p w:rsidR="0075543A" w:rsidRPr="0075543A" w:rsidRDefault="0075543A" w:rsidP="00793183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0" w:firstLine="9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 xml:space="preserve">գործի գրավոր ընթացակարգով քննություն, դատական նիստի անցկացում </w:t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միայն դատավորի նախաձեռնությամբ անհրաժեշտության դեպքերում, </w:t>
            </w:r>
          </w:p>
          <w:p w:rsidR="0075543A" w:rsidRPr="0075543A" w:rsidRDefault="0075543A" w:rsidP="00793183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0" w:firstLine="9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>դատավորի կողմից իր նախաձեռնությամբ ապացույցներ պահանջելը և հավաքելը,</w:t>
            </w:r>
          </w:p>
          <w:p w:rsidR="0075543A" w:rsidRPr="0075543A" w:rsidRDefault="0075543A" w:rsidP="00793183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0" w:firstLine="9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>եզրափակիչ դատական ակտի կայացում առանց պատճառաբանական և հիմնավորման մասերի և այլն:</w:t>
            </w:r>
          </w:p>
          <w:p w:rsidR="0075543A" w:rsidRPr="0075543A" w:rsidRDefault="0075543A" w:rsidP="00793183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5543A">
              <w:rPr>
                <w:rFonts w:ascii="GHEA Grapalat" w:eastAsia="Times New Roman" w:hAnsi="GHEA Grapalat" w:cs="Arial"/>
                <w:b/>
                <w:color w:val="333333"/>
                <w:sz w:val="24"/>
                <w:szCs w:val="24"/>
              </w:rPr>
              <w:t>Ռ</w:t>
            </w:r>
            <w:r w:rsidRPr="0075543A">
              <w:rPr>
                <w:rFonts w:ascii="GHEA Grapalat" w:eastAsia="Times New Roman" w:hAnsi="GHEA Grapalat" w:cs="Arial"/>
                <w:b/>
                <w:color w:val="333333"/>
                <w:sz w:val="24"/>
                <w:szCs w:val="24"/>
                <w:lang w:val="hy-AM"/>
              </w:rPr>
              <w:t>ուսաստանի Դաշնության</w:t>
            </w:r>
            <w:r w:rsidRPr="0075543A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 xml:space="preserve"> </w:t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քաղաքացիական դատավարության օրենսգրքի 232.4-րդ  հոդվածը սահմանում է պարզեցված վարույթներով դատական ակտերին ներկայացվող պահանջները: Մասնավորապես, նշվում է, որ պարզեցված վարույթի կարգով քննվող գործերի դեպքում </w:t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դատարանը կայացնում է դատական ակտի եզրափակիչ մասը, որն ուղարկվում է կողմերին ոչ ուշ, քան կայացման հաջորդ օրը և հրապարակվում է դատարանի պաշտոնական կայքում: Միաժամանակ հոդվածը սահմանում է, որ դատավարության մասնակիցների միջնորդությամբ կամ այդ դատական ակտի դեմ բողոք ներկայացվելու դեպքում դատարանը կազմում է արդեն պատճառաբանված դատական ակտը: Միջնորդություն կարող է ներկայացվել եզրափակիչ մասի կայացման օրվանից` հնգօրյա ժամկետում, իսկ պատճառաբանված որոշումը դատարանը կայացնում է միջնորդություն ներկայացնելուց </w:t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կամ դատական ակտը բողոքարկելու օրվանից` հնգօրյա ժամկետում</w:t>
            </w:r>
            <w:r w:rsidRPr="0075543A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footnoteReference w:id="4"/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  <w:p w:rsidR="0075543A" w:rsidRPr="0075543A" w:rsidRDefault="0075543A" w:rsidP="007931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ab/>
              <w:t xml:space="preserve">Նման կարգավորում նախատեսված է նաև </w:t>
            </w:r>
            <w:r w:rsidRPr="0075543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Ղազախստանի </w:t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դատավարության օրենսգրքի 223-րդ հոդվածում, որտեղ, մասնավորապես, նշվում է, որ պարզեցված (փաստաթղթային) վարույթի կարգով գործեր քննելիս դատարանը կայացնում է կարճ որոշում, իսկ մինչև ակտի օրինական ուժի մեջ մտնելը կողմերի ներկայացրած գրավոր միջնորդության հիման վրա կամ իր նախաձեռնությամբ դատարանը կայացնում է պատճառաբանված որոշում</w:t>
            </w:r>
            <w:r w:rsidRPr="0075543A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footnoteReference w:id="5"/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75543A" w:rsidRPr="0012090F" w:rsidRDefault="0075543A" w:rsidP="007931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5543A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Շվեյցարիայի</w:t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 xml:space="preserve"> քաղաքացիական դատավարության օրենսգիրքը այս առումով նախատեսում է առավել ընդհանուր կարգավորում: Օրենսգրքի 239-րդ հոդվածը սահմանում է, որ դատարանը կողմերին կարող է դատական նիստի ընթացքում տրամադրել դատական ակտի գրավոր ծանուցումը` ամփոփ և բանավոր ներկայացնելով դատական կայացման հիմքերը` առանց հիմքերի և հիմնավորումների գրավոր ներկայացման</w:t>
            </w:r>
            <w:r w:rsidRPr="0075543A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footnoteReference w:id="6"/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 xml:space="preserve">: Հիմքերը և հիմնավորումները գրավոր կերպով ներկայացնելու պարտականությունը ծագում է այն դեպքում, երբ կողմերից մեկը այդ մասին միջնորդում է </w:t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դատարանի` դատական ակտի ծանուցագիրը ստանալուց հետո` տասնօրյա ժամկետում</w:t>
            </w:r>
            <w:r w:rsidRPr="0075543A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footnoteReference w:id="7"/>
            </w:r>
            <w:r w:rsidRPr="0075543A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574B82" w:rsidRPr="0012090F" w:rsidRDefault="00574B82" w:rsidP="007931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2090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Մարդու իրավունքների եվրոպական դատարանը</w:t>
            </w:r>
            <w:r w:rsidRPr="0012090F">
              <w:rPr>
                <w:rFonts w:ascii="GHEA Grapalat" w:hAnsi="GHEA Grapalat"/>
                <w:sz w:val="24"/>
                <w:szCs w:val="24"/>
                <w:lang w:val="hy-AM"/>
              </w:rPr>
              <w:t>, անդրադառնալով դատական ակտերի պատճառաբանվածությանը, նշել է, որ կոնվենցիայի 6-րդ հոդվածի 1-ին մասը թեև պարտավորեցնում է դատարանին պատճառաբանելու դատական ակտը, այն  չի կարող մեկնաբանվել որպես ցանկացած փաստարկի վերաբերյալ հիմնավոր պատասխան</w:t>
            </w:r>
            <w:r w:rsidRPr="00E327F8">
              <w:rPr>
                <w:rFonts w:ascii="GHEA Grapalat" w:hAnsi="GHEA Grapalat"/>
                <w:sz w:val="24"/>
                <w:szCs w:val="24"/>
                <w:lang w:val="hy-AM"/>
              </w:rPr>
              <w:t>ի ներկայացում</w:t>
            </w:r>
            <w:r w:rsidRPr="00E327F8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id="8"/>
            </w:r>
            <w:r w:rsidRPr="0012090F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E327F8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Դատական ակտը պատճառաբանելու պարտականությունը կարող է </w:t>
            </w:r>
            <w:r w:rsidRPr="00E327F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տարբերվել կախված որոշման բնույթից</w:t>
            </w:r>
            <w:r w:rsidRPr="00E327F8">
              <w:rPr>
                <w:rStyle w:val="FootnoteReference"/>
                <w:rFonts w:ascii="GHEA Grapalat" w:hAnsi="GHEA Grapalat"/>
                <w:sz w:val="24"/>
                <w:szCs w:val="24"/>
                <w:lang w:val="hy-AM"/>
              </w:rPr>
              <w:footnoteReference w:id="9"/>
            </w:r>
            <w:r w:rsidRPr="00E327F8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դրա կիրառումը կարող է որոշվել գործի փաստական հանգամանքները հաշվի առնելով</w:t>
            </w:r>
            <w:r w:rsidRPr="0012090F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E26BA6" w:rsidRPr="0012090F" w:rsidRDefault="00E26BA6" w:rsidP="00793183">
            <w:pPr>
              <w:spacing w:line="360" w:lineRule="auto"/>
              <w:jc w:val="both"/>
              <w:rPr>
                <w:rFonts w:ascii="GHEA Grapalat" w:hAnsi="GHEA Grapalat" w:cs="IRTEK Courier"/>
                <w:b/>
                <w:i/>
                <w:sz w:val="24"/>
                <w:szCs w:val="24"/>
                <w:lang w:val="hy-AM"/>
              </w:rPr>
            </w:pPr>
            <w:r w:rsidRPr="0012090F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 կարգավորումների համաձայն՝ </w:t>
            </w:r>
            <w:r w:rsidRPr="0012090F">
              <w:rPr>
                <w:rFonts w:ascii="GHEA Grapalat" w:hAnsi="GHEA Grapalat" w:cs="IRTEK Courier"/>
                <w:sz w:val="24"/>
                <w:szCs w:val="24"/>
                <w:lang w:val="hy-AM"/>
              </w:rPr>
              <w:t>պ</w:t>
            </w:r>
            <w:r w:rsidRPr="00E26BA6">
              <w:rPr>
                <w:rFonts w:ascii="GHEA Grapalat" w:hAnsi="GHEA Grapalat" w:cs="IRTEK Courier"/>
                <w:sz w:val="24"/>
                <w:szCs w:val="24"/>
                <w:lang w:val="hy-AM"/>
              </w:rPr>
              <w:t>արզեցված վարույթի կարգով գործի քննության արդյունքում կայացվող</w:t>
            </w:r>
            <w:r w:rsidRPr="0012090F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վճիռը </w:t>
            </w:r>
            <w:r w:rsidR="0012090F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գործն ըստ էության լուծելու մասով </w:t>
            </w:r>
            <w:r w:rsidRPr="0012090F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պետք է լինի պատճառաբանված, երբ հայցը բավարարվել է մասնակի կամ մերժվել է, ինչպես նաև </w:t>
            </w:r>
            <w:r w:rsidRPr="00E26BA6">
              <w:rPr>
                <w:rFonts w:ascii="GHEA Grapalat" w:hAnsi="GHEA Grapalat" w:cs="IRTEK Courier"/>
                <w:sz w:val="24"/>
                <w:szCs w:val="24"/>
                <w:lang w:val="hy-AM"/>
              </w:rPr>
              <w:t>գործի քննության ընթացքում հայցի դեմ ներկայացվել է առարկություն</w:t>
            </w:r>
            <w:r w:rsidR="0012090F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: </w:t>
            </w:r>
          </w:p>
          <w:p w:rsidR="0059169A" w:rsidRPr="0012090F" w:rsidRDefault="0059169A" w:rsidP="00793183">
            <w:pPr>
              <w:spacing w:line="360" w:lineRule="auto"/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12090F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Վերոգրյալից բխում է, որ Նախագծի կարգավորումները համապատասխանում են </w:t>
            </w:r>
            <w:r w:rsidRPr="0012090F">
              <w:rPr>
                <w:rFonts w:ascii="GHEA Grapalat" w:hAnsi="GHEA Grapalat" w:cs="IRTEK Courier"/>
                <w:sz w:val="24"/>
                <w:szCs w:val="24"/>
                <w:lang w:val="hy-AM"/>
              </w:rPr>
              <w:lastRenderedPageBreak/>
              <w:t>քննարկված միջազգային չափանիշներին, քանի որ թվարկված են բոլոր այն դեպքերը, երբ առկա է գործին մասնակցող անձանց փաստարկներին անդրադառնալու անհրաժեշտություն:</w:t>
            </w:r>
          </w:p>
          <w:p w:rsidR="0012090F" w:rsidRDefault="0059169A" w:rsidP="00793183">
            <w:pPr>
              <w:spacing w:line="360" w:lineRule="auto"/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12090F">
              <w:rPr>
                <w:rFonts w:ascii="GHEA Grapalat" w:hAnsi="GHEA Grapalat" w:cs="IRTEK Courier"/>
                <w:sz w:val="24"/>
                <w:szCs w:val="24"/>
                <w:lang w:val="hy-AM"/>
              </w:rPr>
              <w:t>Հատկանշական է, որ ՀՀ քաղաքացիական դատավարության օրենսգրքի</w:t>
            </w:r>
            <w:r w:rsidR="003B79AD" w:rsidRPr="003B79AD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(այսուհետ՝ Օրենսգիրք)</w:t>
            </w:r>
            <w:r w:rsidRPr="0012090F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9-րդ հոդվածի 2-րդ մասը սահմանում է օրենսգրքով նախատեսված դեպքերում դատական ակտը չպատճառաբանելու հնարավորություն</w:t>
            </w:r>
            <w:r w:rsidR="0012090F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: </w:t>
            </w:r>
          </w:p>
          <w:p w:rsidR="0012090F" w:rsidRDefault="0012090F" w:rsidP="00793183">
            <w:pPr>
              <w:spacing w:line="360" w:lineRule="auto"/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Ուշագրավ  է, որ ներկայումս արդեն իսկ քաղաքացիադատավարական օրենսդրությունը նախատեսում է </w:t>
            </w:r>
            <w:r>
              <w:rPr>
                <w:rFonts w:ascii="GHEA Grapalat" w:hAnsi="GHEA Grapalat" w:cs="IRTEK Courier"/>
                <w:sz w:val="24"/>
                <w:szCs w:val="24"/>
                <w:lang w:val="hy-AM"/>
              </w:rPr>
              <w:lastRenderedPageBreak/>
              <w:t>չպատճառաբանված դատական ակտի գոյության հնարավորությունը վճարման կարգադրության տեսքով:</w:t>
            </w:r>
          </w:p>
          <w:p w:rsidR="0075543A" w:rsidRPr="00633585" w:rsidRDefault="0012090F" w:rsidP="0079318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Հարկ է նկատել, որ վճարման կարգադրության և նախագծով առաջարկվող լուծումների միջև առկա է որոշակի ընդհանրություն այն առումով, որ երկու դեպքում էլ պատասխանողը /պարտապանը/ ըստ էության չունի անհամաձայնություն ներկայացված պահանջի վերաբերյալ, այսինքն՝ պարտավորությունը անվիճելի է: </w:t>
            </w:r>
          </w:p>
          <w:p w:rsidR="0075543A" w:rsidRPr="008B2001" w:rsidRDefault="002A5866" w:rsidP="007931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A5866">
              <w:rPr>
                <w:rFonts w:ascii="GHEA Grapalat" w:hAnsi="GHEA Grapalat" w:cs="Arial"/>
                <w:sz w:val="24"/>
                <w:szCs w:val="24"/>
                <w:lang w:val="hy-AM"/>
              </w:rPr>
              <w:t>Ընդ</w:t>
            </w:r>
            <w:r w:rsidRPr="002A5866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2A5866">
              <w:rPr>
                <w:rFonts w:ascii="GHEA Grapalat" w:hAnsi="GHEA Grapalat" w:cs="Arial"/>
                <w:sz w:val="24"/>
                <w:szCs w:val="24"/>
                <w:lang w:val="hy-AM"/>
              </w:rPr>
              <w:t>որում</w:t>
            </w:r>
            <w:r w:rsidRPr="002A5866">
              <w:rPr>
                <w:rFonts w:ascii="GHEA Grapalat" w:hAnsi="GHEA Grapalat" w:cs="Arial"/>
                <w:sz w:val="24"/>
                <w:szCs w:val="24"/>
                <w:lang w:val="af-ZA"/>
              </w:rPr>
              <w:t>, տվյալ կատեգորիայի գործերով կայացված դատական ակտերի դեմ բողոքները չեն գերազանցում 1</w:t>
            </w:r>
            <w:r w:rsidRPr="002A5866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%-ը</w:t>
            </w:r>
            <w:r w:rsidR="008B2001">
              <w:rPr>
                <w:rStyle w:val="FootnoteReference"/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footnoteReference w:id="10"/>
            </w:r>
            <w:r w:rsidR="008B2001" w:rsidRPr="008B2001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:rsidR="00D8584A" w:rsidRPr="0075543A" w:rsidRDefault="00D8584A" w:rsidP="007931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41B87" w:rsidRPr="00507E04" w:rsidTr="00926925">
        <w:tc>
          <w:tcPr>
            <w:tcW w:w="3189" w:type="dxa"/>
          </w:tcPr>
          <w:p w:rsidR="00341B87" w:rsidRPr="00341B87" w:rsidRDefault="00341B87" w:rsidP="00793183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736" w:type="dxa"/>
          </w:tcPr>
          <w:p w:rsidR="00341B87" w:rsidRPr="00341B87" w:rsidRDefault="00341B87" w:rsidP="00793183">
            <w:pPr>
              <w:pStyle w:val="ListParagraph"/>
              <w:numPr>
                <w:ilvl w:val="0"/>
                <w:numId w:val="18"/>
              </w:numPr>
              <w:tabs>
                <w:tab w:val="left" w:pos="479"/>
                <w:tab w:val="left" w:pos="900"/>
                <w:tab w:val="left" w:pos="1080"/>
                <w:tab w:val="left" w:pos="1406"/>
              </w:tabs>
              <w:spacing w:line="360" w:lineRule="auto"/>
              <w:ind w:left="0" w:firstLine="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="009603A1" w:rsidRPr="009603A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դատավարության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օրենսգրքի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խմբագրությամբ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շարադրվող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302-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5-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մասով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նեղացվում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վերաքննիչ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բողոք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ներկայացնելու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հիմքերի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շրջանակը</w:t>
            </w:r>
            <w:r w:rsidRPr="00341B87">
              <w:rPr>
                <w:rFonts w:ascii="GHEA Grapalat" w:hAnsi="GHEA Grapalat" w:cs="Tahoma"/>
                <w:sz w:val="24"/>
                <w:szCs w:val="24"/>
                <w:lang w:val="hy-AM"/>
              </w:rPr>
              <w:t>։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Գտնում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ենք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այդպիսի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կարգավորումը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ևս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կարող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խնդրահարույց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դիտարկվել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Սահմանադրության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61-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63-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հոդվածների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սահմանադրական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դատարանի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շարք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որոշումներում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ՍԴՈ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–690,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ՍԴՈ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–709,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ՍԴՈ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–719,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ՍԴՈ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–936,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ՍԴՈ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–1191)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արտահայտված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դիրքորոշումների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համատեքստում։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341B87" w:rsidRPr="00341B87" w:rsidRDefault="00341B87" w:rsidP="00793183">
            <w:pPr>
              <w:tabs>
                <w:tab w:val="left" w:pos="567"/>
                <w:tab w:val="left" w:pos="900"/>
                <w:tab w:val="left" w:pos="1080"/>
              </w:tabs>
              <w:spacing w:line="36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341B8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ab/>
              <w:t xml:space="preserve">Քննարկվող հարցի հետ կապված հատկանշական է ՀՀ սահմանադրական դատարանի 2011 թվականի ՍԴՈ 936 որոշման մեջ արտահայտված այն իրավական դիրքորոշումը, ըստ որի՝ </w:t>
            </w:r>
            <w:r w:rsidRPr="00341B87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lastRenderedPageBreak/>
              <w:t>դատավարական որևէ առանձնահատկություն կամ վարույթի տեսակ չի կարող օրենքով մեկնաբանվել կամ կիրառվել այնպես, որ ամբողջովին իմաստազրկվեն Սահմանադրության 18–րդ և 19–րդ հոդվածներով</w:t>
            </w:r>
            <w:r w:rsidRPr="00341B8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երաշխավորված անձի հիմնական իրավունքները կամ դրանց իրացման արգելք հանդիսանա։</w:t>
            </w:r>
          </w:p>
          <w:p w:rsidR="00341B87" w:rsidRPr="00341B87" w:rsidRDefault="00341B87" w:rsidP="00793183">
            <w:pPr>
              <w:tabs>
                <w:tab w:val="left" w:pos="567"/>
                <w:tab w:val="left" w:pos="900"/>
                <w:tab w:val="left" w:pos="1080"/>
              </w:tabs>
              <w:spacing w:line="36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341B8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ab/>
              <w:t xml:space="preserve">Սահմանադրական դատարանը մեկ այլ 2012 թվականի ՍԴՈ–1037 որոշման մեջ իրավական դիրքորոշում է արտահայտել այն մասին, որ բոլոր այն երկրներում, որոնց օրենսդրությունը թույլ է տալիս </w:t>
            </w:r>
            <w:r w:rsidRPr="00341B87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 xml:space="preserve">«ոչ մեծ» հայցագնի դեպքում սահմանափակել դատական ակտի բողոքարկման իրավունքը, գործում են որոշակի չափանիշներ ու գործոններ, որոնց հետ ողջամիտ հարաբերակցության մեջ է օրենսդիրը որոշում համապատասխան հայցագնի </w:t>
            </w:r>
            <w:r w:rsidRPr="00341B87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lastRenderedPageBreak/>
              <w:t>չափը։</w:t>
            </w:r>
            <w:r w:rsidRPr="00341B8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Սահմանադրական դատարանը նշում է նաև, որ բողոքարկման ոչ ենթակա գումարային սահմանի որոշումն օրենսդիր մարմնի իրավասության հարցն է, սակայն այն պետք է որոշվի մի շարք գործոնների (նվազագույն աշխատավարձի չափը, նվազագույն սպառողական զամբյուղի արժեքը, բնակչության կենսամակարդակը) հետ արդարացի և ողջամիտ հարաբերակցություն ապահովելու նպատակից ելնելով:</w:t>
            </w:r>
          </w:p>
          <w:p w:rsidR="00341B87" w:rsidRPr="00341B87" w:rsidRDefault="00341B87" w:rsidP="00793183">
            <w:pPr>
              <w:tabs>
                <w:tab w:val="left" w:pos="567"/>
                <w:tab w:val="left" w:pos="900"/>
                <w:tab w:val="left" w:pos="1080"/>
              </w:tabs>
              <w:spacing w:line="36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341B8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ab/>
              <w:t xml:space="preserve">Այս համատեքստում հարկ է նշել, որ ՀՀ քաղաքացիական դատավարության օրենսգրքի նոր խմբագրությամբ շարադրվող 297-րդ հոդվածով նախատեսված կարգավորումը՝ պարզեցված վարույթի կարգով բռնագանձման ենթական գումարի առավելագույն չափի հետ կապված, համադրելի չէ ՀՀ </w:t>
            </w:r>
            <w:r w:rsidRPr="00341B8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սահմանադ</w:t>
            </w:r>
            <w:bookmarkStart w:id="0" w:name="_GoBack"/>
            <w:bookmarkEnd w:id="0"/>
            <w:r w:rsidRPr="00341B8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րական դատարանի 2012 թվականի ՍԴՈ–1037 որոշման մեջ արտահայտված դիրքորոշումների ընդհանուր տրամաբանության հետ։ </w:t>
            </w:r>
          </w:p>
          <w:p w:rsidR="00341B87" w:rsidRPr="00341B87" w:rsidRDefault="00341B87" w:rsidP="00793183">
            <w:pPr>
              <w:spacing w:line="360" w:lineRule="auto"/>
              <w:ind w:firstLine="720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:rsidR="00341B87" w:rsidRPr="00341B87" w:rsidRDefault="00341B87" w:rsidP="00793183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43" w:type="dxa"/>
          </w:tcPr>
          <w:p w:rsidR="00341B87" w:rsidRPr="002744C2" w:rsidRDefault="009F781E" w:rsidP="002744C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Ընդունվել է</w:t>
            </w:r>
            <w:r w:rsidR="002744C2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972" w:type="dxa"/>
          </w:tcPr>
          <w:p w:rsidR="00C806D1" w:rsidRPr="002744C2" w:rsidRDefault="002744C2" w:rsidP="002744C2">
            <w:pPr>
              <w:pStyle w:val="NormalWeb"/>
              <w:widowControl w:val="0"/>
              <w:spacing w:before="0" w:beforeAutospacing="0" w:after="0" w:afterAutospacing="0" w:line="360" w:lineRule="auto"/>
              <w:jc w:val="both"/>
              <w:rPr>
                <w:rFonts w:ascii="GHEA Grapalat" w:hAnsi="GHEA Grapalat" w:cs="IRTEK Courier"/>
                <w:lang w:val="hy-AM"/>
              </w:rPr>
            </w:pPr>
            <w:r>
              <w:rPr>
                <w:rFonts w:ascii="GHEA Grapalat" w:hAnsi="GHEA Grapalat" w:cs="IRTEK Courier"/>
                <w:lang w:val="hy-AM"/>
              </w:rPr>
              <w:t>Նախագծում կատարվել է համապատասխան փոփոխություն:</w:t>
            </w:r>
          </w:p>
          <w:p w:rsidR="0012090F" w:rsidRPr="0012090F" w:rsidRDefault="0012090F" w:rsidP="00793183">
            <w:pPr>
              <w:pStyle w:val="NormalWeb"/>
              <w:widowControl w:val="0"/>
              <w:spacing w:before="0" w:beforeAutospacing="0" w:after="0" w:afterAutospacing="0" w:line="360" w:lineRule="auto"/>
              <w:ind w:firstLine="426"/>
              <w:jc w:val="both"/>
              <w:rPr>
                <w:rFonts w:ascii="GHEA Grapalat" w:hAnsi="GHEA Grapalat" w:cs="IRTEK Courier"/>
                <w:lang w:val="hy-AM"/>
              </w:rPr>
            </w:pPr>
          </w:p>
          <w:p w:rsidR="001875C5" w:rsidRPr="002744C2" w:rsidRDefault="001875C5" w:rsidP="00793183">
            <w:pPr>
              <w:pStyle w:val="NormalWeb"/>
              <w:widowControl w:val="0"/>
              <w:spacing w:before="0" w:beforeAutospacing="0" w:after="0" w:afterAutospacing="0" w:line="360" w:lineRule="auto"/>
              <w:ind w:firstLine="426"/>
              <w:jc w:val="both"/>
              <w:rPr>
                <w:rFonts w:ascii="GHEA Grapalat" w:hAnsi="GHEA Grapalat" w:cs="IRTEK Courier"/>
                <w:lang w:val="en-US"/>
              </w:rPr>
            </w:pPr>
            <w:r w:rsidRPr="002744C2">
              <w:rPr>
                <w:rFonts w:ascii="GHEA Grapalat" w:hAnsi="GHEA Grapalat" w:cs="IRTEK Courier"/>
                <w:lang w:val="en-US"/>
              </w:rPr>
              <w:t xml:space="preserve"> </w:t>
            </w:r>
          </w:p>
        </w:tc>
      </w:tr>
      <w:tr w:rsidR="00F479D1" w:rsidRPr="005D3D57" w:rsidTr="00926925">
        <w:tc>
          <w:tcPr>
            <w:tcW w:w="3189" w:type="dxa"/>
          </w:tcPr>
          <w:p w:rsidR="00F479D1" w:rsidRPr="00341B87" w:rsidRDefault="00F479D1" w:rsidP="00793183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Վարչապետի աշխատակազմի </w:t>
            </w:r>
            <w:r w:rsidRPr="00F479D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պաշտպանության, անվտանգության և արդարադատության հարցերի</w:t>
            </w:r>
            <w:r w:rsidRPr="00341B8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վարչության</w:t>
            </w:r>
          </w:p>
          <w:p w:rsidR="00F479D1" w:rsidRPr="00F479D1" w:rsidRDefault="00F479D1" w:rsidP="00793183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E1B29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F479D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E1B29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F479D1">
              <w:rPr>
                <w:rFonts w:ascii="GHEA Grapalat" w:hAnsi="GHEA Grapalat"/>
                <w:sz w:val="24"/>
                <w:szCs w:val="24"/>
                <w:lang w:val="hy-AM"/>
              </w:rPr>
              <w:t>.201</w:t>
            </w:r>
            <w:r w:rsidRPr="004E1B29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Pr="00F479D1">
              <w:rPr>
                <w:rFonts w:ascii="GHEA Grapalat" w:hAnsi="GHEA Grapalat"/>
                <w:sz w:val="24"/>
                <w:szCs w:val="24"/>
                <w:lang w:val="hy-AM"/>
              </w:rPr>
              <w:t xml:space="preserve">թ N </w:t>
            </w:r>
            <w:r w:rsidRPr="004E1B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01/10.1/5515-2019 </w:t>
            </w:r>
            <w:r w:rsidRPr="00F479D1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736" w:type="dxa"/>
          </w:tcPr>
          <w:p w:rsidR="00341B87" w:rsidRPr="00341B87" w:rsidRDefault="00341B87" w:rsidP="00793183">
            <w:pPr>
              <w:pStyle w:val="ListParagraph"/>
              <w:numPr>
                <w:ilvl w:val="0"/>
                <w:numId w:val="19"/>
              </w:numPr>
              <w:spacing w:after="160" w:line="360" w:lineRule="auto"/>
              <w:ind w:left="-46" w:firstLine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դատավարության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օրենսգրքում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այսուհետ՝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»)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խմբագրությամբ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շարադրվող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297-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4-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մասի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5-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կետով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ամրագրվող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դրույթները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հակադրվում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դատավարությունում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անկյունաքարային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համարվող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մրցակցության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սկզբունքին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Առաջարկվող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կարգավորումներով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ըստ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էության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ստացվում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դատարանը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սեփական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նախաձեռնությամբ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կերպ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ասած՝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պաշտոնե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(ex officio),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բնորոշ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դատավարությանը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պետք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պարզի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գործին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առնչվող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որոշ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փաստեր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Թեև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դատավարության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օրենսգրքով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թույլատրելի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մրցակցության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սկզբունքից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որոշ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բացառությունները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շեղումները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սակայն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այդպիսիք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պետք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լինեն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լրջորեն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հիմնավորված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իրապես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բացառիկ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դեպքեր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որպեսզի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բացառությունը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չվերաճի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կանոնի՝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նենգափոխելով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մրցակցության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սկզբունքի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իմաստային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ծանրաբեռնվածությունը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Հետևապես՝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նման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իրավակարգավորման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նախատեսումը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լրացուցիչ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հիմնավորումների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կարիք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ունի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այն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հաշվով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որպեսզի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ծանրակշիռ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փաստարկների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վկայակոչմամբ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հավաստվի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հատկապես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պարզեցված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ընթացակարգով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քննվող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վարույթում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դատարանին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նման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դատազորությամբ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օժտելն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իրավաչափ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շեղում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վերը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հիշատակված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սկզբունքից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  <w:p w:rsidR="00F479D1" w:rsidRPr="00341B87" w:rsidRDefault="00F479D1" w:rsidP="00793183">
            <w:pPr>
              <w:spacing w:line="360" w:lineRule="auto"/>
              <w:ind w:left="-46" w:firstLine="9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43" w:type="dxa"/>
          </w:tcPr>
          <w:p w:rsidR="00F479D1" w:rsidRPr="00ED05A6" w:rsidRDefault="00ED05A6" w:rsidP="002744C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Չի ընդունվել:</w:t>
            </w:r>
          </w:p>
        </w:tc>
        <w:tc>
          <w:tcPr>
            <w:tcW w:w="3972" w:type="dxa"/>
          </w:tcPr>
          <w:p w:rsidR="00C948F6" w:rsidRDefault="00C948F6" w:rsidP="0079318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13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Օրենսգրքի 60-րդ </w:t>
            </w:r>
            <w:r w:rsidRPr="00C948F6">
              <w:rPr>
                <w:rFonts w:ascii="GHEA Grapalat" w:hAnsi="GHEA Grapalat"/>
              </w:rPr>
              <w:t xml:space="preserve">հոդվածի </w:t>
            </w:r>
            <w:r w:rsidR="00507E04" w:rsidRPr="00507E04">
              <w:rPr>
                <w:rFonts w:ascii="GHEA Grapalat" w:hAnsi="GHEA Grapalat"/>
              </w:rPr>
              <w:t xml:space="preserve">   </w:t>
            </w:r>
            <w:r w:rsidRPr="00C948F6">
              <w:rPr>
                <w:rFonts w:ascii="GHEA Grapalat" w:hAnsi="GHEA Grapalat"/>
              </w:rPr>
              <w:t xml:space="preserve">1-ին մասի համաձայն՝ </w:t>
            </w:r>
            <w:r>
              <w:rPr>
                <w:rFonts w:ascii="GHEA Grapalat" w:hAnsi="GHEA Grapalat"/>
              </w:rPr>
              <w:t>գ</w:t>
            </w:r>
            <w:r w:rsidRPr="00C948F6">
              <w:rPr>
                <w:rFonts w:ascii="GHEA Grapalat" w:hAnsi="GHEA Grapalat"/>
                <w:color w:val="000000"/>
                <w:shd w:val="clear" w:color="auto" w:fill="FFFFFF"/>
              </w:rPr>
              <w:t>ործի լուծման համար նշանակություն ունեցող փաստերի շրջանակը որոշում է դատարանը` գործին մասնակցող անձանց պահանջների և առարկությունների հիման վրա` ղեկավարվելով վիճելի իրավահարաբերության նկատմամբ կիրառելի իրավական նորմերով:</w:t>
            </w:r>
          </w:p>
          <w:p w:rsidR="00D857DF" w:rsidRDefault="00C948F6" w:rsidP="0079318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13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</w:rPr>
              <w:t xml:space="preserve">Միաժամանակ, հարկ է նշել, որ մրցակցության սկզբունքի երաշխավորմանն են ուղղված </w:t>
            </w:r>
            <w:r>
              <w:rPr>
                <w:rFonts w:ascii="GHEA Grapalat" w:hAnsi="GHEA Grapalat"/>
              </w:rPr>
              <w:lastRenderedPageBreak/>
              <w:t>Օրենսգրքի այն դրույթները, որոնց համաձայն՝ գործին մասնակցող յուրաքանչյուր անձ պարտավոր է ապացուցել իր վկայակոչած փաստերը և ներկայացնել համապատասխան ապացույցներ, որպիսի գործընթացին դատարանի միջամտությունը կհանդիսանա</w:t>
            </w:r>
            <w:r w:rsidRPr="00C948F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ex</w:t>
            </w:r>
            <w:r w:rsidRPr="00C948F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officio</w:t>
            </w:r>
            <w:r w:rsidRPr="00C948F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սկզբունքի իրացում, իսկ տվյալ դեպքում՝ դատարանը կոչված է որոշելու գործի լուծման համար էական նշանակություն ունեցող փաստերը և Օրենսգրքի  </w:t>
            </w:r>
            <w:r>
              <w:rPr>
                <w:rFonts w:ascii="GHEA Grapalat" w:hAnsi="GHEA Grapalat"/>
              </w:rPr>
              <w:br/>
            </w:r>
            <w:r w:rsidR="00D857DF" w:rsidRPr="00D857DF">
              <w:rPr>
                <w:rFonts w:ascii="GHEA Grapalat" w:hAnsi="GHEA Grapalat"/>
              </w:rPr>
              <w:t xml:space="preserve">169-րդ հոդվածի 3-րդ մասի համաձայն՝ </w:t>
            </w:r>
            <w:r w:rsidR="00E63533">
              <w:rPr>
                <w:rFonts w:ascii="GHEA Grapalat" w:hAnsi="GHEA Grapalat"/>
                <w:color w:val="000000"/>
              </w:rPr>
              <w:t xml:space="preserve">կայացնել ապացուցման </w:t>
            </w:r>
            <w:r w:rsidR="00D857DF" w:rsidRPr="00D857DF">
              <w:rPr>
                <w:rFonts w:ascii="GHEA Grapalat" w:hAnsi="GHEA Grapalat"/>
                <w:color w:val="000000"/>
              </w:rPr>
              <w:t>պարտականությունը բաշխելու մասին որոշ</w:t>
            </w:r>
            <w:r w:rsidR="00E63533">
              <w:rPr>
                <w:rFonts w:ascii="GHEA Grapalat" w:hAnsi="GHEA Grapalat"/>
                <w:color w:val="000000"/>
              </w:rPr>
              <w:t>ում, որով ի թիվս այլնի,</w:t>
            </w:r>
            <w:r w:rsidR="00D857DF" w:rsidRPr="00D857DF">
              <w:rPr>
                <w:rFonts w:ascii="GHEA Grapalat" w:hAnsi="GHEA Grapalat"/>
                <w:color w:val="000000"/>
              </w:rPr>
              <w:t xml:space="preserve"> սահման</w:t>
            </w:r>
            <w:r w:rsidR="00E63533">
              <w:rPr>
                <w:rFonts w:ascii="GHEA Grapalat" w:hAnsi="GHEA Grapalat"/>
                <w:color w:val="000000"/>
              </w:rPr>
              <w:t xml:space="preserve">վում են </w:t>
            </w:r>
            <w:r w:rsidR="00D857DF" w:rsidRPr="00D857DF">
              <w:rPr>
                <w:rFonts w:ascii="GHEA Grapalat" w:hAnsi="GHEA Grapalat"/>
                <w:color w:val="000000"/>
              </w:rPr>
              <w:t>գործի լուծման համա</w:t>
            </w:r>
            <w:r w:rsidR="00E63533">
              <w:rPr>
                <w:rFonts w:ascii="GHEA Grapalat" w:hAnsi="GHEA Grapalat"/>
                <w:color w:val="000000"/>
              </w:rPr>
              <w:t xml:space="preserve">ր նշանակություն </w:t>
            </w:r>
            <w:r w:rsidR="00E63533">
              <w:rPr>
                <w:rFonts w:ascii="GHEA Grapalat" w:hAnsi="GHEA Grapalat"/>
                <w:color w:val="000000"/>
              </w:rPr>
              <w:lastRenderedPageBreak/>
              <w:t>ունեցող փաստերը:</w:t>
            </w:r>
          </w:p>
          <w:p w:rsidR="005E35AF" w:rsidRPr="00943659" w:rsidRDefault="005E35AF" w:rsidP="0079318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13"/>
              <w:jc w:val="both"/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</w:rPr>
              <w:t xml:space="preserve">Ամբողջ վերոշարադրյալը հիմնավորվում է նաև Սահմանադրական դատարանի </w:t>
            </w:r>
            <w:r w:rsidR="00943659" w:rsidRPr="00943659">
              <w:rPr>
                <w:rFonts w:ascii="GHEA Grapalat" w:hAnsi="GHEA Grapalat"/>
                <w:color w:val="000000"/>
              </w:rPr>
              <w:t xml:space="preserve">08.12.2009 </w:t>
            </w:r>
            <w:proofErr w:type="spellStart"/>
            <w:r w:rsidR="00943659">
              <w:rPr>
                <w:rFonts w:ascii="GHEA Grapalat" w:hAnsi="GHEA Grapalat"/>
                <w:color w:val="000000"/>
                <w:lang w:val="en-US"/>
              </w:rPr>
              <w:t>թվականի</w:t>
            </w:r>
            <w:proofErr w:type="spellEnd"/>
            <w:r w:rsidR="00943659" w:rsidRPr="00943659"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/>
                <w:color w:val="000000"/>
              </w:rPr>
              <w:t>թիվ ՍԴՈ-845 որոշմամբ արտահայտված այն դիրքորոշմամբ</w:t>
            </w:r>
            <w:r w:rsidR="0012090F">
              <w:rPr>
                <w:rFonts w:ascii="GHEA Grapalat" w:hAnsi="GHEA Grapalat"/>
                <w:color w:val="000000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</w:rPr>
              <w:t xml:space="preserve"> համաձայն որի</w:t>
            </w:r>
            <w:r w:rsidR="0012090F">
              <w:rPr>
                <w:rFonts w:ascii="GHEA Grapalat" w:hAnsi="GHEA Grapalat"/>
                <w:color w:val="000000"/>
                <w:lang w:val="hy-AM"/>
              </w:rPr>
              <w:t>՝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գ</w:t>
            </w:r>
            <w:r w:rsidRPr="005E35A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ործի լուծման համար էական նշանակություն ունեցող ապացուցման ենթակա փաստերի որոշումը դատարանի կողմից ամենևին էլ չի նշանակում կողմերի իրավահավասարության կամ մրցակցության սկզբունքների խախտում, առավել ևս կողմերի միջև ապացուցման պարտականության անհավասար բաշխում: Ընդհակառակը, դրանով դատարանը կողմերին ուղղորդում է ապացույցներ ներկայացնել այն փաստերի </w:t>
            </w:r>
            <w:r w:rsidRPr="005E35AF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lastRenderedPageBreak/>
              <w:t>վերաբերյալ, որոնք կհաստատեն իրենց պահանջներն ու առարկությունները, հետևաբար, փաստական հիմք կստեղծեն գործով օրինական (հիմնավոր) վճիռ (որոշում) կայացնելու համար:</w:t>
            </w:r>
          </w:p>
          <w:p w:rsidR="005D3D57" w:rsidRPr="002744C2" w:rsidRDefault="005D3D57" w:rsidP="007931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Այսպիսով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D3D57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297-</w:t>
            </w:r>
            <w:r w:rsidRPr="005D3D57">
              <w:rPr>
                <w:rFonts w:ascii="GHEA Grapalat" w:hAnsi="GHEA Grapalat"/>
                <w:sz w:val="24"/>
                <w:szCs w:val="24"/>
              </w:rPr>
              <w:t>րդ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հոդվածի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4-</w:t>
            </w:r>
            <w:r w:rsidRPr="005D3D57">
              <w:rPr>
                <w:rFonts w:ascii="GHEA Grapalat" w:hAnsi="GHEA Grapalat"/>
                <w:sz w:val="24"/>
                <w:szCs w:val="24"/>
              </w:rPr>
              <w:t>րդ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մասի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5-</w:t>
            </w:r>
            <w:r w:rsidRPr="005D3D57">
              <w:rPr>
                <w:rFonts w:ascii="GHEA Grapalat" w:hAnsi="GHEA Grapalat"/>
                <w:sz w:val="24"/>
                <w:szCs w:val="24"/>
              </w:rPr>
              <w:t>րդ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կետով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նախատեսված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կարգավորումը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չի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կարող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համարվել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մրցակցության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սկզբունքի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խախտում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և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առավել</w:t>
            </w:r>
            <w:r w:rsidRPr="005D3D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ևս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վարչական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դատավարությանը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բնորոշ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  <w:lang w:val="en-US"/>
              </w:rPr>
              <w:t>ex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  <w:lang w:val="en-US"/>
              </w:rPr>
              <w:t>officio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սկզբունքի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դրսևորում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D3D57">
              <w:rPr>
                <w:rFonts w:ascii="GHEA Grapalat" w:hAnsi="GHEA Grapalat"/>
                <w:sz w:val="24"/>
                <w:szCs w:val="24"/>
              </w:rPr>
              <w:t>քանի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որ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գործի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լուծման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էական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նշանակություն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ունեցող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փաստերը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որոշում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D3D57">
              <w:rPr>
                <w:rFonts w:ascii="GHEA Grapalat" w:hAnsi="GHEA Grapalat"/>
                <w:sz w:val="24"/>
                <w:szCs w:val="24"/>
              </w:rPr>
              <w:t>է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D3D57">
              <w:rPr>
                <w:rFonts w:ascii="GHEA Grapalat" w:hAnsi="GHEA Grapalat"/>
                <w:sz w:val="24"/>
                <w:szCs w:val="24"/>
                <w:lang w:val="en-US"/>
              </w:rPr>
              <w:t>դատարանը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7C7A8E" w:rsidRPr="002744C2" w:rsidRDefault="007C7A8E" w:rsidP="007931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479D1" w:rsidRPr="00793183" w:rsidTr="00926925">
        <w:tc>
          <w:tcPr>
            <w:tcW w:w="3189" w:type="dxa"/>
          </w:tcPr>
          <w:p w:rsidR="00F479D1" w:rsidRPr="005B4B85" w:rsidRDefault="00F479D1" w:rsidP="00793183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736" w:type="dxa"/>
          </w:tcPr>
          <w:p w:rsidR="00341B87" w:rsidRPr="00341B87" w:rsidRDefault="00341B87" w:rsidP="00793183">
            <w:pPr>
              <w:pStyle w:val="ListParagraph"/>
              <w:numPr>
                <w:ilvl w:val="0"/>
                <w:numId w:val="19"/>
              </w:numPr>
              <w:spacing w:after="160" w:line="360" w:lineRule="auto"/>
              <w:ind w:left="-46" w:firstLine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դատավարության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օրենսգրքի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այնպես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էլ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նախագծով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խմբագրությամբ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շարադրվող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296-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համաձայն՝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պարզեցված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վարույթի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կիրառելի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ընդհանուր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եթե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պարզեցված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վարույթին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առնչվող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գլխում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հատուկ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չեն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Նշված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համատեքստում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հիշյալ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գլխում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պետք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նախատեսվեն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միայն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բացառություններ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ընդհանուր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կանոններից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մինչդեռ՝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խմբագրությամբ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շարադրվող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299-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մասի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կարգավորումը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բովանդակային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առումով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հանդիսանում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ընդհանուր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կրկնություն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հետևապես՝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դրա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ամրագրումը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որպես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հատուկ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դրույթ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իմաստալից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չէ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  <w:p w:rsidR="00F479D1" w:rsidRPr="00341B87" w:rsidRDefault="00F479D1" w:rsidP="00793183">
            <w:pPr>
              <w:spacing w:line="360" w:lineRule="auto"/>
              <w:ind w:left="-46" w:firstLine="9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43" w:type="dxa"/>
          </w:tcPr>
          <w:p w:rsidR="00F479D1" w:rsidRPr="00AD342C" w:rsidRDefault="00507E04" w:rsidP="002744C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</w:t>
            </w:r>
            <w:r w:rsidR="00AD342C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972" w:type="dxa"/>
          </w:tcPr>
          <w:p w:rsidR="00732316" w:rsidRPr="00793183" w:rsidRDefault="00507E04" w:rsidP="007931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Նախագծում</w:t>
            </w:r>
            <w:proofErr w:type="spellEnd"/>
            <w:r w:rsidRPr="0073231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կատարվել</w:t>
            </w:r>
            <w:proofErr w:type="spellEnd"/>
            <w:r w:rsidRPr="0073231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 w:rsidRPr="0073231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proofErr w:type="spellEnd"/>
            <w:r w:rsidRPr="0073231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փոփոխություններ</w:t>
            </w:r>
            <w:proofErr w:type="spellEnd"/>
            <w:r w:rsidRPr="00732316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F479D1" w:rsidRPr="00E327F8" w:rsidTr="00926925">
        <w:tc>
          <w:tcPr>
            <w:tcW w:w="3189" w:type="dxa"/>
          </w:tcPr>
          <w:p w:rsidR="00F479D1" w:rsidRPr="005B4B85" w:rsidRDefault="00F479D1" w:rsidP="00793183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736" w:type="dxa"/>
          </w:tcPr>
          <w:p w:rsidR="00341B87" w:rsidRPr="00341B87" w:rsidRDefault="00341B87" w:rsidP="00793183">
            <w:pPr>
              <w:pStyle w:val="ListParagraph"/>
              <w:numPr>
                <w:ilvl w:val="0"/>
                <w:numId w:val="19"/>
              </w:numPr>
              <w:spacing w:after="160" w:line="360" w:lineRule="auto"/>
              <w:ind w:left="-46" w:firstLine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խմբագրությամբ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շարադրվող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299-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6-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մասով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ամրագրվել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պարզեցված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վարույթի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քննելու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ընթացքում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հայցի</w:t>
            </w:r>
            <w:r w:rsidRPr="00341B87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առարկայի</w:t>
            </w:r>
            <w:r w:rsidRPr="00341B87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կամ</w:t>
            </w:r>
            <w:r w:rsidRPr="00341B87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հիմքի</w:t>
            </w:r>
            <w:r w:rsidRPr="00341B87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փոփոխություն</w:t>
            </w:r>
            <w:r w:rsidRPr="00341B87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չի</w:t>
            </w:r>
            <w:r w:rsidRPr="00341B87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թույլատրվում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Մեր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գնահատմամբ՝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նման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մոտեցումն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ուղղակիորեն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հակադրվում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օրենսգրքի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12-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ամրագրված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տնօրինչականության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սկզբունքին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Մատնանշված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այս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սկզբունքից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որևէ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բացառություն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շեղման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հնարավորություն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նախատեսում՝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տարբերություն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մրցակցության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սկզբունքի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ուստի՝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առաջարկվող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կարգավորմամբ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խախտվում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տնօրինչականության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սկզբունքի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էությունը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  <w:p w:rsidR="00F479D1" w:rsidRPr="00341B87" w:rsidRDefault="00F479D1" w:rsidP="00793183">
            <w:pPr>
              <w:spacing w:line="360" w:lineRule="auto"/>
              <w:ind w:left="-46" w:firstLine="9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43" w:type="dxa"/>
          </w:tcPr>
          <w:p w:rsidR="00F479D1" w:rsidRPr="008C79A8" w:rsidRDefault="005E35AF" w:rsidP="002744C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Ընդունվել է:</w:t>
            </w:r>
          </w:p>
        </w:tc>
        <w:tc>
          <w:tcPr>
            <w:tcW w:w="3972" w:type="dxa"/>
          </w:tcPr>
          <w:p w:rsidR="000D3422" w:rsidRPr="00732316" w:rsidRDefault="00732316" w:rsidP="007931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Նախագծում</w:t>
            </w:r>
            <w:proofErr w:type="spellEnd"/>
            <w:r w:rsidRPr="0073231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կատարվել</w:t>
            </w:r>
            <w:proofErr w:type="spellEnd"/>
            <w:r w:rsidRPr="0073231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 w:rsidRPr="0073231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proofErr w:type="spellEnd"/>
            <w:r w:rsidRPr="0073231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փոփոխություններ</w:t>
            </w:r>
            <w:proofErr w:type="spellEnd"/>
            <w:r w:rsidRPr="00732316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F479D1" w:rsidRPr="009E3C85" w:rsidTr="00926925">
        <w:tc>
          <w:tcPr>
            <w:tcW w:w="3189" w:type="dxa"/>
          </w:tcPr>
          <w:p w:rsidR="00F479D1" w:rsidRPr="005B4B85" w:rsidRDefault="00F479D1" w:rsidP="00793183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736" w:type="dxa"/>
          </w:tcPr>
          <w:p w:rsidR="00341B87" w:rsidRPr="00341B87" w:rsidRDefault="00341B87" w:rsidP="00793183">
            <w:pPr>
              <w:pStyle w:val="ListParagraph"/>
              <w:numPr>
                <w:ilvl w:val="0"/>
                <w:numId w:val="19"/>
              </w:numPr>
              <w:spacing w:after="160" w:line="360" w:lineRule="auto"/>
              <w:ind w:left="-46" w:firstLine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խմբագրությամբ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շարադրվող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300-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2-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մասով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էապես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երկարաձգել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պարզեցված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վարույթի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գործի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քննության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արդյունքում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եզրափակիչ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ակտի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կայացման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վերջնաժամկետը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Հիմնավորման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մեջ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բացակայում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ժամկետի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միջին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հաշվարկ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պարզաբանում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հիմնված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կլինի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հադկապես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խորհրդի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վարույթի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տևողության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միջին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հաշվարկի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վրա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որպեսզի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հնարավոր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լինի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պարզել՝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արդյոք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4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ամիսը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կհամարվի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ողջամիտ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ժամկետ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պարզեցված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վարույթի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թե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այն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կհամարվի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ընդհանուր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վարույթի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գործի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քննությանը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հավասարեցված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դրանից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էականորեն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նվազ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ժամկետ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  <w:p w:rsidR="00341B87" w:rsidRPr="00341B87" w:rsidRDefault="00341B87" w:rsidP="00793183">
            <w:pPr>
              <w:spacing w:line="360" w:lineRule="auto"/>
              <w:ind w:left="-46" w:firstLine="9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Վերոգրյալի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համատեքստում՝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հարկ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ընդգծել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այն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հանգամանքը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սոսկ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դատարանների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ծանրաբեռնվածության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վկայակոչումը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կարող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որակվել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որպես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պատշաճ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հիմնավորում՝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պարզեցված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վարույթի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քննվող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գործերով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վերջնական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դատական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կայացման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ժամկետի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նման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կտրուկ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ընդլայնման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F479D1" w:rsidRPr="00341B87" w:rsidRDefault="00F479D1" w:rsidP="00793183">
            <w:pPr>
              <w:spacing w:line="360" w:lineRule="auto"/>
              <w:ind w:left="-46" w:firstLine="9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43" w:type="dxa"/>
          </w:tcPr>
          <w:p w:rsidR="00F479D1" w:rsidRPr="0075417C" w:rsidRDefault="002744C2" w:rsidP="002744C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 ի գիտություն</w:t>
            </w:r>
            <w:r w:rsidR="0075417C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972" w:type="dxa"/>
          </w:tcPr>
          <w:p w:rsidR="00F479D1" w:rsidRPr="002744C2" w:rsidRDefault="00BC6EF3" w:rsidP="007931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Նախագծով ամրագրվել է 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պարզեցված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վարույթի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գործի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1B87">
              <w:rPr>
                <w:rFonts w:ascii="GHEA Grapalat" w:hAnsi="GHEA Grapalat" w:cs="Sylfaen"/>
                <w:sz w:val="24"/>
                <w:szCs w:val="24"/>
                <w:lang w:val="hy-AM"/>
              </w:rPr>
              <w:t>քննության</w:t>
            </w:r>
            <w:r w:rsidRPr="00341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չորսամսյա ժամկետ</w:t>
            </w:r>
            <w:r w:rsidR="00E3028A"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հաշվի առնելով այն հանգամանքը, որ պարզեցված </w:t>
            </w: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վարույթ կիրառելու մասին որոշումից հետո իրականացվելիք դատավարական </w:t>
            </w:r>
            <w:r w:rsidRPr="00807892">
              <w:rPr>
                <w:rFonts w:ascii="GHEA Grapalat" w:hAnsi="GHEA Grapalat"/>
                <w:sz w:val="24"/>
                <w:szCs w:val="24"/>
              </w:rPr>
              <w:t>գործողությունների կատարման համար՝ հայցի ապահովում, առարկությունների և կողմերի դիրքորոշումների և ապացույցների ներկայացում, կայացված որոշումների փոստային առաքում և այլն</w:t>
            </w:r>
            <w:r w:rsidR="00807892" w:rsidRPr="0080789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07892">
              <w:rPr>
                <w:rFonts w:ascii="GHEA Grapalat" w:hAnsi="GHEA Grapalat"/>
                <w:sz w:val="24"/>
                <w:szCs w:val="24"/>
                <w:lang w:val="en-US"/>
              </w:rPr>
              <w:t>պահանջվում</w:t>
            </w:r>
            <w:proofErr w:type="spellEnd"/>
            <w:r w:rsidR="00807892" w:rsidRPr="0080789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07892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 w:rsidR="00807892" w:rsidRPr="0080789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07892">
              <w:rPr>
                <w:rFonts w:ascii="GHEA Grapalat" w:hAnsi="GHEA Grapalat"/>
                <w:sz w:val="24"/>
                <w:szCs w:val="24"/>
                <w:lang w:val="en-US"/>
              </w:rPr>
              <w:t>հստակ</w:t>
            </w:r>
            <w:proofErr w:type="spellEnd"/>
            <w:r w:rsidR="00807892" w:rsidRPr="0080789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07892">
              <w:rPr>
                <w:rFonts w:ascii="GHEA Grapalat" w:hAnsi="GHEA Grapalat"/>
                <w:sz w:val="24"/>
                <w:szCs w:val="24"/>
                <w:lang w:val="en-US"/>
              </w:rPr>
              <w:t>սահմանված</w:t>
            </w:r>
            <w:proofErr w:type="spellEnd"/>
            <w:r w:rsidR="00807892" w:rsidRPr="0080789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07892">
              <w:rPr>
                <w:rFonts w:ascii="GHEA Grapalat" w:hAnsi="GHEA Grapalat"/>
                <w:sz w:val="24"/>
                <w:szCs w:val="24"/>
                <w:lang w:val="en-US"/>
              </w:rPr>
              <w:t>ժամկետներ</w:t>
            </w:r>
            <w:proofErr w:type="spellEnd"/>
            <w:r w:rsidRPr="00807892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3028A" w:rsidRPr="002744C2" w:rsidRDefault="00E3028A" w:rsidP="007931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Այսպես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9E3C85">
              <w:rPr>
                <w:rFonts w:ascii="GHEA Grapalat" w:hAnsi="GHEA Grapalat"/>
                <w:sz w:val="24"/>
                <w:szCs w:val="24"/>
                <w:lang w:val="en-US"/>
              </w:rPr>
              <w:t>չորսամսյա</w:t>
            </w:r>
            <w:proofErr w:type="spellEnd"/>
            <w:r w:rsidR="009E3C85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E3C85">
              <w:rPr>
                <w:rFonts w:ascii="GHEA Grapalat" w:hAnsi="GHEA Grapalat"/>
                <w:sz w:val="24"/>
                <w:szCs w:val="24"/>
                <w:lang w:val="en-US"/>
              </w:rPr>
              <w:t>ժամկետը</w:t>
            </w:r>
            <w:proofErr w:type="spellEnd"/>
            <w:r w:rsidR="009E3C85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E3C85">
              <w:rPr>
                <w:rFonts w:ascii="GHEA Grapalat" w:hAnsi="GHEA Grapalat"/>
                <w:sz w:val="24"/>
                <w:szCs w:val="24"/>
                <w:lang w:val="en-US"/>
              </w:rPr>
              <w:t>հաշվարկվում</w:t>
            </w:r>
            <w:proofErr w:type="spellEnd"/>
            <w:r w:rsidR="009E3C85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E3C85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="009E3C85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E3C85">
              <w:rPr>
                <w:rFonts w:ascii="GHEA Grapalat" w:hAnsi="GHEA Grapalat"/>
                <w:sz w:val="24"/>
                <w:szCs w:val="24"/>
                <w:lang w:val="en-US"/>
              </w:rPr>
              <w:t>սկսված</w:t>
            </w:r>
            <w:proofErr w:type="spellEnd"/>
            <w:r w:rsidR="009E3C85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E3C85">
              <w:rPr>
                <w:rFonts w:ascii="GHEA Grapalat" w:hAnsi="GHEA Grapalat"/>
                <w:sz w:val="24"/>
                <w:szCs w:val="24"/>
                <w:lang w:val="en-US"/>
              </w:rPr>
              <w:t>պարզեցված</w:t>
            </w:r>
            <w:proofErr w:type="spellEnd"/>
            <w:r w:rsidR="009E3C85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E3C85">
              <w:rPr>
                <w:rFonts w:ascii="GHEA Grapalat" w:hAnsi="GHEA Grapalat"/>
                <w:sz w:val="24"/>
                <w:szCs w:val="24"/>
                <w:lang w:val="en-US"/>
              </w:rPr>
              <w:t>վարույթ</w:t>
            </w:r>
            <w:proofErr w:type="spellEnd"/>
            <w:r w:rsidR="009E3C85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E3C85">
              <w:rPr>
                <w:rFonts w:ascii="GHEA Grapalat" w:hAnsi="GHEA Grapalat"/>
                <w:sz w:val="24"/>
                <w:szCs w:val="24"/>
                <w:lang w:val="en-US"/>
              </w:rPr>
              <w:t>կիրառելու</w:t>
            </w:r>
            <w:proofErr w:type="spellEnd"/>
            <w:r w:rsidR="009E3C85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E3C85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="009E3C85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E3C85">
              <w:rPr>
                <w:rFonts w:ascii="GHEA Grapalat" w:hAnsi="GHEA Grapalat"/>
                <w:sz w:val="24"/>
                <w:szCs w:val="24"/>
                <w:lang w:val="en-US"/>
              </w:rPr>
              <w:t>որոշում</w:t>
            </w:r>
            <w:proofErr w:type="spellEnd"/>
            <w:r w:rsidR="009E3C85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E3C85">
              <w:rPr>
                <w:rFonts w:ascii="GHEA Grapalat" w:hAnsi="GHEA Grapalat"/>
                <w:sz w:val="24"/>
                <w:szCs w:val="24"/>
                <w:lang w:val="en-US"/>
              </w:rPr>
              <w:t>կայացնելու</w:t>
            </w:r>
            <w:proofErr w:type="spellEnd"/>
            <w:r w:rsidR="009E3C85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E3C85">
              <w:rPr>
                <w:rFonts w:ascii="GHEA Grapalat" w:hAnsi="GHEA Grapalat"/>
                <w:sz w:val="24"/>
                <w:szCs w:val="24"/>
                <w:lang w:val="en-US"/>
              </w:rPr>
              <w:t>պահից</w:t>
            </w:r>
            <w:proofErr w:type="spellEnd"/>
            <w:r w:rsidR="009E3C85" w:rsidRPr="002744C2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B5101D" w:rsidRPr="002744C2" w:rsidRDefault="009E3C85" w:rsidP="007931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Այդ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որոշումը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ստանալու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պահից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պատասխանողին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տրամադրվում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երկշաբաթյա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ժամկետ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հայցադիմումի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պատասխան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ներկայացնելու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F5E4A" w:rsidRPr="002744C2" w:rsidRDefault="00B5101D" w:rsidP="007931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Պարզեցված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վարույթ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կիրառելու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47C74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="00947C74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47C74">
              <w:rPr>
                <w:rFonts w:ascii="GHEA Grapalat" w:hAnsi="GHEA Grapalat"/>
                <w:sz w:val="24"/>
                <w:szCs w:val="24"/>
                <w:lang w:val="en-US"/>
              </w:rPr>
              <w:t>որոշումը</w:t>
            </w:r>
            <w:proofErr w:type="spellEnd"/>
            <w:r w:rsidR="00947C74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47C74">
              <w:rPr>
                <w:rFonts w:ascii="GHEA Grapalat" w:hAnsi="GHEA Grapalat"/>
                <w:sz w:val="24"/>
                <w:szCs w:val="24"/>
                <w:lang w:val="en-US"/>
              </w:rPr>
              <w:t>ստանալու</w:t>
            </w:r>
            <w:proofErr w:type="spellEnd"/>
            <w:r w:rsidR="00947C74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47C74">
              <w:rPr>
                <w:rFonts w:ascii="GHEA Grapalat" w:hAnsi="GHEA Grapalat"/>
                <w:sz w:val="24"/>
                <w:szCs w:val="24"/>
                <w:lang w:val="en-US"/>
              </w:rPr>
              <w:t>պահից</w:t>
            </w:r>
            <w:proofErr w:type="spellEnd"/>
            <w:r w:rsidR="00947C74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47C74">
              <w:rPr>
                <w:rFonts w:ascii="GHEA Grapalat" w:hAnsi="GHEA Grapalat"/>
                <w:sz w:val="24"/>
                <w:szCs w:val="24"/>
                <w:lang w:val="en-US"/>
              </w:rPr>
              <w:t>գործին</w:t>
            </w:r>
            <w:proofErr w:type="spellEnd"/>
            <w:r w:rsidR="00947C74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47C74">
              <w:rPr>
                <w:rFonts w:ascii="GHEA Grapalat" w:hAnsi="GHEA Grapalat"/>
                <w:sz w:val="24"/>
                <w:szCs w:val="24"/>
                <w:lang w:val="en-US"/>
              </w:rPr>
              <w:t>մասնակցող</w:t>
            </w:r>
            <w:proofErr w:type="spellEnd"/>
            <w:r w:rsidR="00947C74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47C74">
              <w:rPr>
                <w:rFonts w:ascii="GHEA Grapalat" w:hAnsi="GHEA Grapalat"/>
                <w:sz w:val="24"/>
                <w:szCs w:val="24"/>
                <w:lang w:val="en-US"/>
              </w:rPr>
              <w:t>անձանց</w:t>
            </w:r>
            <w:proofErr w:type="spellEnd"/>
            <w:r w:rsidR="00947C74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47C74">
              <w:rPr>
                <w:rFonts w:ascii="GHEA Grapalat" w:hAnsi="GHEA Grapalat"/>
                <w:sz w:val="24"/>
                <w:szCs w:val="24"/>
                <w:lang w:val="en-US"/>
              </w:rPr>
              <w:t>տրամադրվում</w:t>
            </w:r>
            <w:proofErr w:type="spellEnd"/>
            <w:r w:rsidR="00947C74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47C74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="00947C74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47C74">
              <w:rPr>
                <w:rFonts w:ascii="GHEA Grapalat" w:hAnsi="GHEA Grapalat"/>
                <w:sz w:val="24"/>
                <w:szCs w:val="24"/>
                <w:lang w:val="en-US"/>
              </w:rPr>
              <w:t>մեկ</w:t>
            </w:r>
            <w:proofErr w:type="spellEnd"/>
            <w:r w:rsidR="00947C74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47C74">
              <w:rPr>
                <w:rFonts w:ascii="GHEA Grapalat" w:hAnsi="GHEA Grapalat"/>
                <w:sz w:val="24"/>
                <w:szCs w:val="24"/>
                <w:lang w:val="en-US"/>
              </w:rPr>
              <w:t>ամսյա</w:t>
            </w:r>
            <w:proofErr w:type="spellEnd"/>
            <w:r w:rsidR="00947C74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47C74">
              <w:rPr>
                <w:rFonts w:ascii="GHEA Grapalat" w:hAnsi="GHEA Grapalat"/>
                <w:sz w:val="24"/>
                <w:szCs w:val="24"/>
                <w:lang w:val="en-US"/>
              </w:rPr>
              <w:t>ժամկետ</w:t>
            </w:r>
            <w:proofErr w:type="spellEnd"/>
            <w:r w:rsidR="00947C74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47C74">
              <w:rPr>
                <w:rFonts w:ascii="GHEA Grapalat" w:hAnsi="GHEA Grapalat"/>
                <w:sz w:val="24"/>
                <w:szCs w:val="24"/>
                <w:lang w:val="en-US"/>
              </w:rPr>
              <w:t>ապացույցներ</w:t>
            </w:r>
            <w:proofErr w:type="spellEnd"/>
            <w:r w:rsidR="00947C74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47C74">
              <w:rPr>
                <w:rFonts w:ascii="GHEA Grapalat" w:hAnsi="GHEA Grapalat"/>
                <w:sz w:val="24"/>
                <w:szCs w:val="24"/>
                <w:lang w:val="en-US"/>
              </w:rPr>
              <w:t>ներկայացնելու</w:t>
            </w:r>
            <w:proofErr w:type="spellEnd"/>
            <w:r w:rsidR="00947C74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47C74"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proofErr w:type="spellEnd"/>
            <w:r w:rsidR="00947C74" w:rsidRPr="002744C2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B63AE" w:rsidRPr="002744C2" w:rsidRDefault="000F5E4A" w:rsidP="007931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որում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Օրենսգիրքը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գործին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մասնակցող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անձանց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տվել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հնարավորություն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ներկայացնելու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կոնկրետ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դատավարական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ժամկետը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երկարաձագելու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միջնորդություն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B63AE" w:rsidRPr="002744C2" w:rsidRDefault="009B63AE" w:rsidP="007931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Բացի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այդ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քանի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դատավարական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գործողությունների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կատարման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ժամկետները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հաշվարկվում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47C74"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պարզեցված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վարույթ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կիրառելու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որոշումը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ստանալու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պահից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այդ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այլ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դատավարական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փաստաթղթերի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մասին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ծանուցումն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իրականացվում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Օրենսգրքի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95-97-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հոդվածներով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սահմանված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կարգով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իսկ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Օրենսգրքի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95-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հոդվածը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թվարկում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պատշաճ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ծանուցման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անհրաժեշտ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այն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դատավարական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գործողությունների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ծավալը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որը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դատարանը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պարտավոր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իրականացնել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իսկ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այդ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գործողությունների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կատարումից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օր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հետո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միայն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անձը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կհամարվի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պատշաճ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ծանուցված</w:t>
            </w:r>
            <w:proofErr w:type="spellEnd"/>
            <w:r w:rsidRPr="002744C2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BC6EF3" w:rsidRPr="002744C2" w:rsidRDefault="00BC6EF3" w:rsidP="007931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88104E" w:rsidRPr="005B4B85" w:rsidRDefault="0088104E" w:rsidP="0079318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88104E" w:rsidRPr="005B4B85" w:rsidSect="00FC4044">
      <w:pgSz w:w="16838" w:h="11906" w:orient="landscape"/>
      <w:pgMar w:top="567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5AF" w:rsidRDefault="005E35AF" w:rsidP="004E7A49">
      <w:pPr>
        <w:spacing w:after="0" w:line="240" w:lineRule="auto"/>
      </w:pPr>
      <w:r>
        <w:separator/>
      </w:r>
    </w:p>
  </w:endnote>
  <w:endnote w:type="continuationSeparator" w:id="0">
    <w:p w:rsidR="005E35AF" w:rsidRDefault="005E35AF" w:rsidP="004E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5AF" w:rsidRDefault="005E35AF" w:rsidP="004E7A49">
      <w:pPr>
        <w:spacing w:after="0" w:line="240" w:lineRule="auto"/>
      </w:pPr>
      <w:r>
        <w:separator/>
      </w:r>
    </w:p>
  </w:footnote>
  <w:footnote w:type="continuationSeparator" w:id="0">
    <w:p w:rsidR="005E35AF" w:rsidRDefault="005E35AF" w:rsidP="004E7A49">
      <w:pPr>
        <w:spacing w:after="0" w:line="240" w:lineRule="auto"/>
      </w:pPr>
      <w:r>
        <w:continuationSeparator/>
      </w:r>
    </w:p>
  </w:footnote>
  <w:footnote w:id="1">
    <w:p w:rsidR="005E35AF" w:rsidRDefault="005E35AF" w:rsidP="0075543A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082F43">
        <w:t xml:space="preserve"> Civil procedure code of Japan, </w:t>
      </w:r>
      <w:r w:rsidRPr="00082F43">
        <w:rPr>
          <w:lang w:val="hy-AM"/>
        </w:rPr>
        <w:t xml:space="preserve"> </w:t>
      </w:r>
      <w:hyperlink r:id="rId1" w:history="1">
        <w:r w:rsidRPr="00153F72">
          <w:rPr>
            <w:rStyle w:val="Hyperlink"/>
            <w:lang w:val="hy-AM"/>
          </w:rPr>
          <w:t>http://www.wipo.int/edocs/lexdocs/laws/en/jp/jp175en.pdf</w:t>
        </w:r>
      </w:hyperlink>
    </w:p>
    <w:p w:rsidR="005E35AF" w:rsidRPr="00082F43" w:rsidRDefault="005E35AF" w:rsidP="0075543A">
      <w:pPr>
        <w:pStyle w:val="FootnoteText"/>
        <w:rPr>
          <w:rFonts w:ascii="Sylfaen" w:hAnsi="Sylfaen"/>
          <w:lang w:val="hy-AM"/>
        </w:rPr>
      </w:pPr>
    </w:p>
  </w:footnote>
  <w:footnote w:id="2">
    <w:p w:rsidR="005E35AF" w:rsidRPr="00F02403" w:rsidRDefault="005E35AF" w:rsidP="0075543A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F02403">
        <w:rPr>
          <w:rFonts w:ascii="Sylfaen" w:hAnsi="Sylfaen"/>
        </w:rPr>
        <w:t>Civil procedure code of Lithuania.</w:t>
      </w:r>
      <w:proofErr w:type="gramEnd"/>
    </w:p>
  </w:footnote>
  <w:footnote w:id="3">
    <w:p w:rsidR="005E35AF" w:rsidRDefault="005E35AF" w:rsidP="0075543A">
      <w:pPr>
        <w:pStyle w:val="FootnoteText"/>
      </w:pPr>
      <w:r>
        <w:rPr>
          <w:rStyle w:val="FootnoteReference"/>
        </w:rPr>
        <w:footnoteRef/>
      </w:r>
      <w:r>
        <w:t xml:space="preserve"> Civil procedure code of Estonia, </w:t>
      </w:r>
      <w:hyperlink r:id="rId2" w:history="1">
        <w:r w:rsidRPr="00153F72">
          <w:rPr>
            <w:rStyle w:val="Hyperlink"/>
          </w:rPr>
          <w:t>https://www.riigiteataja.ee/en/eli/513122013001/consolide</w:t>
        </w:r>
      </w:hyperlink>
    </w:p>
    <w:p w:rsidR="005E35AF" w:rsidRDefault="005E35AF" w:rsidP="0075543A">
      <w:pPr>
        <w:pStyle w:val="FootnoteText"/>
      </w:pPr>
    </w:p>
  </w:footnote>
  <w:footnote w:id="4">
    <w:p w:rsidR="005E35AF" w:rsidRPr="00775BDE" w:rsidRDefault="005E35AF" w:rsidP="0075543A">
      <w:pPr>
        <w:pStyle w:val="FootnoteText"/>
        <w:rPr>
          <w:rFonts w:ascii="GHEA Grapalat" w:hAnsi="GHEA Grapalat"/>
        </w:rPr>
      </w:pPr>
      <w:r>
        <w:rPr>
          <w:rStyle w:val="FootnoteReference"/>
        </w:rPr>
        <w:footnoteRef/>
      </w:r>
      <w:r w:rsidRPr="00775BDE">
        <w:rPr>
          <w:rStyle w:val="FootnoteReference"/>
          <w:rFonts w:ascii="GHEA Grapalat" w:hAnsi="GHEA Grapalat"/>
        </w:rPr>
        <w:footnoteRef/>
      </w:r>
      <w:r w:rsidRPr="00775BDE">
        <w:rPr>
          <w:rFonts w:ascii="GHEA Grapalat" w:hAnsi="GHEA Grapalat"/>
        </w:rPr>
        <w:t>http://www.consultant.ru/document/cons_doc_LAW_39570/140236bbd39d6088bd21e9d720c8e60389eb8426/</w:t>
      </w:r>
    </w:p>
  </w:footnote>
  <w:footnote w:id="5">
    <w:p w:rsidR="005E35AF" w:rsidRPr="00775BDE" w:rsidRDefault="005E35AF" w:rsidP="0075543A">
      <w:pPr>
        <w:pStyle w:val="FootnoteText"/>
        <w:rPr>
          <w:rFonts w:ascii="GHEA Grapalat" w:hAnsi="GHEA Grapalat"/>
        </w:rPr>
      </w:pPr>
      <w:r w:rsidRPr="00775BDE">
        <w:rPr>
          <w:rStyle w:val="FootnoteReference"/>
          <w:rFonts w:ascii="GHEA Grapalat" w:hAnsi="GHEA Grapalat"/>
        </w:rPr>
        <w:footnoteRef/>
      </w:r>
      <w:r w:rsidRPr="00775BDE">
        <w:rPr>
          <w:rFonts w:ascii="GHEA Grapalat" w:hAnsi="GHEA Grapalat"/>
        </w:rPr>
        <w:t xml:space="preserve"> https://online.zakon.kz/Document/?doc_id=34329053#pos=2618;-42</w:t>
      </w:r>
    </w:p>
  </w:footnote>
  <w:footnote w:id="6">
    <w:p w:rsidR="005E35AF" w:rsidRPr="00775BDE" w:rsidRDefault="005E35AF" w:rsidP="0075543A">
      <w:pPr>
        <w:pStyle w:val="FootnoteText"/>
        <w:tabs>
          <w:tab w:val="left" w:pos="3261"/>
        </w:tabs>
        <w:rPr>
          <w:rFonts w:ascii="GHEA Grapalat" w:hAnsi="GHEA Grapalat"/>
        </w:rPr>
      </w:pPr>
      <w:r w:rsidRPr="00775BDE">
        <w:rPr>
          <w:rStyle w:val="FootnoteReference"/>
          <w:rFonts w:ascii="GHEA Grapalat" w:hAnsi="GHEA Grapalat"/>
        </w:rPr>
        <w:footnoteRef/>
      </w:r>
      <w:r w:rsidRPr="00775BDE">
        <w:rPr>
          <w:rFonts w:ascii="GHEA Grapalat" w:hAnsi="GHEA Grapalat"/>
        </w:rPr>
        <w:t xml:space="preserve"> </w:t>
      </w:r>
      <w:proofErr w:type="spellStart"/>
      <w:r w:rsidRPr="00775BDE">
        <w:rPr>
          <w:rFonts w:ascii="GHEA Grapalat" w:hAnsi="GHEA Grapalat"/>
        </w:rPr>
        <w:t>սա</w:t>
      </w:r>
      <w:proofErr w:type="spellEnd"/>
      <w:r w:rsidRPr="00775BDE">
        <w:rPr>
          <w:rFonts w:ascii="GHEA Grapalat" w:hAnsi="GHEA Grapalat"/>
        </w:rPr>
        <w:t xml:space="preserve">, </w:t>
      </w:r>
      <w:proofErr w:type="spellStart"/>
      <w:r w:rsidRPr="00775BDE">
        <w:rPr>
          <w:rFonts w:ascii="GHEA Grapalat" w:hAnsi="GHEA Grapalat"/>
        </w:rPr>
        <w:t>ըստ</w:t>
      </w:r>
      <w:proofErr w:type="spellEnd"/>
      <w:r w:rsidRPr="00775BDE">
        <w:rPr>
          <w:rFonts w:ascii="GHEA Grapalat" w:hAnsi="GHEA Grapalat"/>
        </w:rPr>
        <w:t xml:space="preserve"> </w:t>
      </w:r>
      <w:proofErr w:type="spellStart"/>
      <w:r w:rsidRPr="00775BDE">
        <w:rPr>
          <w:rFonts w:ascii="GHEA Grapalat" w:hAnsi="GHEA Grapalat"/>
        </w:rPr>
        <w:t>էության</w:t>
      </w:r>
      <w:proofErr w:type="spellEnd"/>
      <w:r w:rsidRPr="00775BDE">
        <w:rPr>
          <w:rFonts w:ascii="GHEA Grapalat" w:hAnsi="GHEA Grapalat"/>
        </w:rPr>
        <w:t xml:space="preserve">, </w:t>
      </w:r>
      <w:proofErr w:type="spellStart"/>
      <w:r w:rsidRPr="00775BDE">
        <w:rPr>
          <w:rFonts w:ascii="GHEA Grapalat" w:hAnsi="GHEA Grapalat"/>
        </w:rPr>
        <w:t>դատական</w:t>
      </w:r>
      <w:proofErr w:type="spellEnd"/>
      <w:r w:rsidRPr="00775BDE">
        <w:rPr>
          <w:rFonts w:ascii="GHEA Grapalat" w:hAnsi="GHEA Grapalat"/>
        </w:rPr>
        <w:t xml:space="preserve"> </w:t>
      </w:r>
      <w:proofErr w:type="spellStart"/>
      <w:r w:rsidRPr="00775BDE">
        <w:rPr>
          <w:rFonts w:ascii="GHEA Grapalat" w:hAnsi="GHEA Grapalat"/>
        </w:rPr>
        <w:t>ատի</w:t>
      </w:r>
      <w:proofErr w:type="spellEnd"/>
      <w:r w:rsidRPr="00775BDE">
        <w:rPr>
          <w:rFonts w:ascii="GHEA Grapalat" w:hAnsi="GHEA Grapalat"/>
        </w:rPr>
        <w:t xml:space="preserve"> </w:t>
      </w:r>
      <w:proofErr w:type="spellStart"/>
      <w:r w:rsidRPr="00775BDE">
        <w:rPr>
          <w:rFonts w:ascii="GHEA Grapalat" w:hAnsi="GHEA Grapalat"/>
        </w:rPr>
        <w:t>եզրափակիչ</w:t>
      </w:r>
      <w:proofErr w:type="spellEnd"/>
      <w:r w:rsidRPr="00775BDE">
        <w:rPr>
          <w:rFonts w:ascii="GHEA Grapalat" w:hAnsi="GHEA Grapalat"/>
        </w:rPr>
        <w:t xml:space="preserve"> </w:t>
      </w:r>
      <w:proofErr w:type="spellStart"/>
      <w:r w:rsidRPr="00775BDE">
        <w:rPr>
          <w:rFonts w:ascii="GHEA Grapalat" w:hAnsi="GHEA Grapalat"/>
        </w:rPr>
        <w:t>մասն</w:t>
      </w:r>
      <w:proofErr w:type="spellEnd"/>
      <w:r w:rsidRPr="00775BDE">
        <w:rPr>
          <w:rFonts w:ascii="GHEA Grapalat" w:hAnsi="GHEA Grapalat"/>
        </w:rPr>
        <w:t xml:space="preserve"> է</w:t>
      </w:r>
    </w:p>
  </w:footnote>
  <w:footnote w:id="7">
    <w:p w:rsidR="005E35AF" w:rsidRPr="00775BDE" w:rsidRDefault="005E35AF" w:rsidP="0075543A">
      <w:pPr>
        <w:pStyle w:val="FootnoteText"/>
        <w:rPr>
          <w:rFonts w:ascii="GHEA Grapalat" w:hAnsi="GHEA Grapalat"/>
        </w:rPr>
      </w:pPr>
      <w:r w:rsidRPr="00775BDE">
        <w:rPr>
          <w:rStyle w:val="FootnoteReference"/>
          <w:rFonts w:ascii="GHEA Grapalat" w:hAnsi="GHEA Grapalat"/>
        </w:rPr>
        <w:footnoteRef/>
      </w:r>
      <w:r w:rsidRPr="00775BDE">
        <w:rPr>
          <w:rFonts w:ascii="GHEA Grapalat" w:hAnsi="GHEA Grapalat"/>
        </w:rPr>
        <w:t xml:space="preserve"> https://www.admin.ch/opc/en/classified-compilation/20061121/201801010000/272.pdf</w:t>
      </w:r>
    </w:p>
  </w:footnote>
  <w:footnote w:id="8">
    <w:p w:rsidR="005E35AF" w:rsidRPr="00C461C0" w:rsidRDefault="005E35AF" w:rsidP="00574B82">
      <w:pPr>
        <w:pStyle w:val="FootnoteText"/>
        <w:rPr>
          <w:rFonts w:ascii="GHEA Grapalat" w:hAnsi="GHEA Grapalat"/>
        </w:rPr>
      </w:pPr>
      <w:r w:rsidRPr="00C461C0">
        <w:rPr>
          <w:rStyle w:val="FootnoteReference"/>
          <w:rFonts w:ascii="GHEA Grapalat" w:hAnsi="GHEA Grapalat"/>
        </w:rPr>
        <w:footnoteRef/>
      </w:r>
      <w:r w:rsidRPr="00C461C0">
        <w:rPr>
          <w:rFonts w:ascii="GHEA Grapalat" w:hAnsi="GHEA Grapalat"/>
        </w:rPr>
        <w:t xml:space="preserve"> (Van de </w:t>
      </w:r>
      <w:proofErr w:type="spellStart"/>
      <w:r w:rsidRPr="00C461C0">
        <w:rPr>
          <w:rFonts w:ascii="GHEA Grapalat" w:hAnsi="GHEA Grapalat"/>
        </w:rPr>
        <w:t>Hurk</w:t>
      </w:r>
      <w:proofErr w:type="spellEnd"/>
      <w:r w:rsidRPr="00C461C0">
        <w:rPr>
          <w:rFonts w:ascii="GHEA Grapalat" w:hAnsi="GHEA Grapalat"/>
        </w:rPr>
        <w:t xml:space="preserve"> v. the Netherlands, § 61; </w:t>
      </w:r>
      <w:proofErr w:type="spellStart"/>
      <w:r w:rsidRPr="00C461C0">
        <w:rPr>
          <w:rFonts w:ascii="GHEA Grapalat" w:hAnsi="GHEA Grapalat"/>
        </w:rPr>
        <w:t>García</w:t>
      </w:r>
      <w:proofErr w:type="spellEnd"/>
      <w:r w:rsidRPr="00C461C0">
        <w:rPr>
          <w:rFonts w:ascii="GHEA Grapalat" w:hAnsi="GHEA Grapalat"/>
        </w:rPr>
        <w:t xml:space="preserve"> Ruiz v. Spain [GC], § 26</w:t>
      </w:r>
      <w:r>
        <w:rPr>
          <w:rFonts w:ascii="GHEA Grapalat" w:hAnsi="GHEA Grapalat"/>
        </w:rPr>
        <w:t>)</w:t>
      </w:r>
      <w:r w:rsidRPr="00C461C0">
        <w:rPr>
          <w:rFonts w:ascii="GHEA Grapalat" w:hAnsi="GHEA Grapalat"/>
        </w:rPr>
        <w:t>;</w:t>
      </w:r>
    </w:p>
  </w:footnote>
  <w:footnote w:id="9">
    <w:p w:rsidR="005E35AF" w:rsidRPr="00C461C0" w:rsidRDefault="005E35AF" w:rsidP="00574B82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 (Ruiz </w:t>
      </w:r>
      <w:proofErr w:type="spellStart"/>
      <w:r>
        <w:t>Torija</w:t>
      </w:r>
      <w:proofErr w:type="spellEnd"/>
      <w:r>
        <w:t xml:space="preserve"> v. Spain, § 29; </w:t>
      </w:r>
      <w:proofErr w:type="spellStart"/>
      <w:r>
        <w:t>Hiro</w:t>
      </w:r>
      <w:proofErr w:type="spellEnd"/>
      <w:r>
        <w:t xml:space="preserve"> </w:t>
      </w:r>
      <w:proofErr w:type="spellStart"/>
      <w:r>
        <w:t>Balani</w:t>
      </w:r>
      <w:proofErr w:type="spellEnd"/>
      <w:r>
        <w:t xml:space="preserve"> v. Spain, § 27) a</w:t>
      </w:r>
    </w:p>
  </w:footnote>
  <w:footnote w:id="10">
    <w:p w:rsidR="008B2001" w:rsidRPr="00C358E1" w:rsidRDefault="008B2001" w:rsidP="008B2001">
      <w:pPr>
        <w:tabs>
          <w:tab w:val="left" w:pos="90"/>
          <w:tab w:val="left" w:pos="900"/>
          <w:tab w:val="left" w:pos="1080"/>
        </w:tabs>
        <w:spacing w:after="0" w:line="240" w:lineRule="auto"/>
        <w:jc w:val="both"/>
        <w:rPr>
          <w:sz w:val="20"/>
          <w:szCs w:val="20"/>
          <w:lang w:val="af-ZA"/>
        </w:rPr>
      </w:pPr>
      <w:r>
        <w:rPr>
          <w:rStyle w:val="FootnoteReference"/>
        </w:rPr>
        <w:footnoteRef/>
      </w:r>
      <w:r w:rsidRPr="008B2001">
        <w:rPr>
          <w:lang w:val="hy-AM"/>
        </w:rPr>
        <w:t xml:space="preserve"> </w:t>
      </w:r>
      <w:r w:rsidRPr="008B2001">
        <w:rPr>
          <w:rFonts w:ascii="GHEA Grapalat" w:hAnsi="GHEA Grapalat"/>
          <w:sz w:val="20"/>
          <w:szCs w:val="20"/>
          <w:shd w:val="clear" w:color="auto" w:fill="FFFFFF"/>
          <w:lang w:val="af-ZA"/>
        </w:rPr>
        <w:t>(</w:t>
      </w:r>
      <w:r w:rsidRPr="008B2001">
        <w:rPr>
          <w:rFonts w:ascii="GHEA Grapalat" w:hAnsi="GHEA Grapalat"/>
          <w:sz w:val="20"/>
          <w:szCs w:val="20"/>
          <w:lang w:val="hy-AM"/>
        </w:rPr>
        <w:t>ա</w:t>
      </w:r>
      <w:r w:rsidRPr="008B2001">
        <w:rPr>
          <w:rFonts w:ascii="GHEA Grapalat" w:hAnsi="GHEA Grapalat"/>
          <w:sz w:val="20"/>
          <w:szCs w:val="20"/>
          <w:lang w:val="af-ZA"/>
        </w:rPr>
        <w:t>վելի մանրամասն</w:t>
      </w:r>
      <w:r w:rsidRPr="008B2001">
        <w:rPr>
          <w:rFonts w:ascii="GHEA Grapalat" w:hAnsi="GHEA Grapalat"/>
          <w:lang w:val="af-ZA"/>
        </w:rPr>
        <w:t xml:space="preserve"> </w:t>
      </w:r>
      <w:r w:rsidRPr="008B2001">
        <w:rPr>
          <w:rFonts w:ascii="GHEA Grapalat" w:hAnsi="GHEA Grapalat"/>
          <w:sz w:val="20"/>
          <w:szCs w:val="20"/>
          <w:lang w:val="hy-AM"/>
        </w:rPr>
        <w:t>տե՛ս</w:t>
      </w:r>
      <w:r w:rsidRPr="008B200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B2001">
        <w:rPr>
          <w:rFonts w:ascii="GHEA Grapalat" w:hAnsi="GHEA Grapalat"/>
          <w:sz w:val="20"/>
          <w:szCs w:val="20"/>
          <w:lang w:val="hy-AM"/>
        </w:rPr>
        <w:t>Հայաստանի</w:t>
      </w:r>
      <w:r w:rsidRPr="008B200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B2001">
        <w:rPr>
          <w:rFonts w:ascii="GHEA Grapalat" w:hAnsi="GHEA Grapalat"/>
          <w:sz w:val="20"/>
          <w:szCs w:val="20"/>
          <w:lang w:val="hy-AM"/>
        </w:rPr>
        <w:t>Հանրապետության</w:t>
      </w:r>
      <w:r w:rsidRPr="008B200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B2001">
        <w:rPr>
          <w:rFonts w:ascii="GHEA Grapalat" w:hAnsi="GHEA Grapalat"/>
          <w:sz w:val="20"/>
          <w:szCs w:val="20"/>
          <w:lang w:val="hy-AM"/>
        </w:rPr>
        <w:t>արդարադատության</w:t>
      </w:r>
      <w:r w:rsidRPr="008B200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B2001">
        <w:rPr>
          <w:rFonts w:ascii="GHEA Grapalat" w:hAnsi="GHEA Grapalat"/>
          <w:sz w:val="20"/>
          <w:szCs w:val="20"/>
          <w:lang w:val="hy-AM"/>
        </w:rPr>
        <w:t>արդյունավետության</w:t>
      </w:r>
      <w:r w:rsidRPr="008B200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B2001">
        <w:rPr>
          <w:rFonts w:ascii="GHEA Grapalat" w:hAnsi="GHEA Grapalat"/>
          <w:sz w:val="20"/>
          <w:szCs w:val="20"/>
          <w:lang w:val="hy-AM"/>
        </w:rPr>
        <w:t>համալիր</w:t>
      </w:r>
      <w:r w:rsidRPr="008B200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B2001">
        <w:rPr>
          <w:rFonts w:ascii="GHEA Grapalat" w:hAnsi="GHEA Grapalat"/>
          <w:sz w:val="20"/>
          <w:szCs w:val="20"/>
          <w:lang w:val="hy-AM"/>
        </w:rPr>
        <w:t>բարելավման</w:t>
      </w:r>
      <w:r w:rsidRPr="008B200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B2001">
        <w:rPr>
          <w:rFonts w:ascii="GHEA Grapalat" w:hAnsi="GHEA Grapalat"/>
          <w:sz w:val="20"/>
          <w:szCs w:val="20"/>
          <w:lang w:val="hy-AM"/>
        </w:rPr>
        <w:t>հայեցակարգի</w:t>
      </w:r>
      <w:r w:rsidRPr="008B2001">
        <w:rPr>
          <w:rFonts w:ascii="GHEA Grapalat" w:hAnsi="GHEA Grapalat"/>
          <w:sz w:val="20"/>
          <w:szCs w:val="20"/>
          <w:lang w:val="af-ZA"/>
        </w:rPr>
        <w:t xml:space="preserve"> 38-39-րդ էջերը) </w:t>
      </w:r>
      <w:r w:rsidRPr="00390F7C">
        <w:rPr>
          <w:sz w:val="20"/>
          <w:szCs w:val="20"/>
          <w:lang w:val="af-ZA"/>
        </w:rPr>
        <w:t>(</w:t>
      </w:r>
      <w:hyperlink r:id="rId3" w:history="1">
        <w:r w:rsidRPr="00A14AD4">
          <w:rPr>
            <w:rStyle w:val="Hyperlink"/>
            <w:sz w:val="20"/>
            <w:szCs w:val="20"/>
            <w:lang w:val="af-ZA"/>
          </w:rPr>
          <w:t>http://www.court.am/news/21-08-2018/%D5%80%D5%A1%D5%B5%D5%A5%D6%81%D5%A1%D5%AF%D5%A1%D6%80%D5%A3.pdf</w:t>
        </w:r>
      </w:hyperlink>
      <w:r w:rsidRPr="00001264">
        <w:rPr>
          <w:sz w:val="20"/>
          <w:szCs w:val="20"/>
          <w:shd w:val="clear" w:color="auto" w:fill="FFFFFF"/>
          <w:lang w:val="af-ZA"/>
        </w:rPr>
        <w:t>)</w:t>
      </w:r>
      <w:r w:rsidRPr="00B12903">
        <w:rPr>
          <w:sz w:val="20"/>
          <w:szCs w:val="20"/>
          <w:shd w:val="clear" w:color="auto" w:fill="FFFFFF"/>
          <w:lang w:val="af-ZA"/>
        </w:rPr>
        <w:t>:</w:t>
      </w:r>
      <w:r w:rsidRPr="00B12903">
        <w:rPr>
          <w:lang w:val="af-ZA"/>
        </w:rPr>
        <w:t xml:space="preserve"> </w:t>
      </w:r>
    </w:p>
    <w:p w:rsidR="008B2001" w:rsidRPr="008B2001" w:rsidRDefault="008B2001">
      <w:pPr>
        <w:pStyle w:val="FootnoteText"/>
        <w:rPr>
          <w:lang w:val="af-ZA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7D2"/>
    <w:multiLevelType w:val="multilevel"/>
    <w:tmpl w:val="A9FC986A"/>
    <w:lvl w:ilvl="0">
      <w:start w:val="1"/>
      <w:numFmt w:val="decimal"/>
      <w:lvlText w:val="%1."/>
      <w:lvlJc w:val="left"/>
      <w:rPr>
        <w:rFonts w:ascii="GHEA Grapalat" w:eastAsia="Sylfaen" w:hAnsi="GHEA Grapalat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B70D9A"/>
    <w:multiLevelType w:val="hybridMultilevel"/>
    <w:tmpl w:val="2760D2EE"/>
    <w:lvl w:ilvl="0" w:tplc="BD948880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10EC734D"/>
    <w:multiLevelType w:val="hybridMultilevel"/>
    <w:tmpl w:val="23B65D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80CD5"/>
    <w:multiLevelType w:val="hybridMultilevel"/>
    <w:tmpl w:val="15FA92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35B85"/>
    <w:multiLevelType w:val="hybridMultilevel"/>
    <w:tmpl w:val="D7F2E50A"/>
    <w:lvl w:ilvl="0" w:tplc="6B8C404C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6F11E74"/>
    <w:multiLevelType w:val="hybridMultilevel"/>
    <w:tmpl w:val="07DE28F4"/>
    <w:lvl w:ilvl="0" w:tplc="C93A64FC">
      <w:start w:val="1"/>
      <w:numFmt w:val="decimal"/>
      <w:lvlText w:val="%1."/>
      <w:lvlJc w:val="left"/>
      <w:pPr>
        <w:ind w:left="1200" w:hanging="495"/>
      </w:pPr>
      <w:rPr>
        <w:rFonts w:eastAsia="Calibri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21B02C6"/>
    <w:multiLevelType w:val="hybridMultilevel"/>
    <w:tmpl w:val="7DC8CA14"/>
    <w:lvl w:ilvl="0" w:tplc="4F306552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26C14F5"/>
    <w:multiLevelType w:val="hybridMultilevel"/>
    <w:tmpl w:val="B84CDA34"/>
    <w:lvl w:ilvl="0" w:tplc="982C5C4E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202150F"/>
    <w:multiLevelType w:val="hybridMultilevel"/>
    <w:tmpl w:val="28C69F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3BF4"/>
    <w:multiLevelType w:val="hybridMultilevel"/>
    <w:tmpl w:val="3F00309E"/>
    <w:lvl w:ilvl="0" w:tplc="FC803C5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9AE64FC"/>
    <w:multiLevelType w:val="hybridMultilevel"/>
    <w:tmpl w:val="E7A2D86E"/>
    <w:lvl w:ilvl="0" w:tplc="A4C6BBEC">
      <w:numFmt w:val="bullet"/>
      <w:lvlText w:val="-"/>
      <w:lvlJc w:val="left"/>
      <w:pPr>
        <w:ind w:left="990" w:hanging="360"/>
      </w:pPr>
      <w:rPr>
        <w:rFonts w:ascii="GHEA Grapalat" w:eastAsia="Times New Roman" w:hAnsi="GHEA Grapalat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4D101DED"/>
    <w:multiLevelType w:val="hybridMultilevel"/>
    <w:tmpl w:val="6C58E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3620FC"/>
    <w:multiLevelType w:val="multilevel"/>
    <w:tmpl w:val="41049D2A"/>
    <w:lvl w:ilvl="0">
      <w:start w:val="1"/>
      <w:numFmt w:val="decimal"/>
      <w:lvlText w:val="%1,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C067EF"/>
    <w:multiLevelType w:val="hybridMultilevel"/>
    <w:tmpl w:val="E7D6AFC0"/>
    <w:lvl w:ilvl="0" w:tplc="F762211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AF28A3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50020ED"/>
    <w:multiLevelType w:val="multilevel"/>
    <w:tmpl w:val="CEA88DB8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4757" w:hanging="504"/>
      </w:pPr>
      <w:rPr>
        <w:rFonts w:ascii="GHEA Grapalat" w:hAnsi="GHEA Grapalat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7966C64"/>
    <w:multiLevelType w:val="hybridMultilevel"/>
    <w:tmpl w:val="EB4E9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458EC"/>
    <w:multiLevelType w:val="hybridMultilevel"/>
    <w:tmpl w:val="542C6F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C6A24"/>
    <w:multiLevelType w:val="hybridMultilevel"/>
    <w:tmpl w:val="050AD000"/>
    <w:lvl w:ilvl="0" w:tplc="D70EA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2657EF1"/>
    <w:multiLevelType w:val="hybridMultilevel"/>
    <w:tmpl w:val="9B963F94"/>
    <w:lvl w:ilvl="0" w:tplc="865E231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880509A"/>
    <w:multiLevelType w:val="hybridMultilevel"/>
    <w:tmpl w:val="42B221A2"/>
    <w:lvl w:ilvl="0" w:tplc="A658F010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7B072054"/>
    <w:multiLevelType w:val="multilevel"/>
    <w:tmpl w:val="C5A6202E"/>
    <w:lvl w:ilvl="0">
      <w:start w:val="2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2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8"/>
  </w:num>
  <w:num w:numId="15">
    <w:abstractNumId w:val="12"/>
  </w:num>
  <w:num w:numId="16">
    <w:abstractNumId w:val="21"/>
  </w:num>
  <w:num w:numId="17">
    <w:abstractNumId w:val="0"/>
  </w:num>
  <w:num w:numId="18">
    <w:abstractNumId w:val="13"/>
  </w:num>
  <w:num w:numId="19">
    <w:abstractNumId w:val="16"/>
  </w:num>
  <w:num w:numId="20">
    <w:abstractNumId w:val="1"/>
  </w:num>
  <w:num w:numId="21">
    <w:abstractNumId w:val="15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456"/>
    <w:rsid w:val="00005E8B"/>
    <w:rsid w:val="00012A73"/>
    <w:rsid w:val="00014788"/>
    <w:rsid w:val="00021C7A"/>
    <w:rsid w:val="00033BA9"/>
    <w:rsid w:val="000362E7"/>
    <w:rsid w:val="00050A18"/>
    <w:rsid w:val="00050C9B"/>
    <w:rsid w:val="000538F7"/>
    <w:rsid w:val="00060725"/>
    <w:rsid w:val="00085E99"/>
    <w:rsid w:val="000A419B"/>
    <w:rsid w:val="000A7932"/>
    <w:rsid w:val="000C7C4C"/>
    <w:rsid w:val="000D3422"/>
    <w:rsid w:val="000E122D"/>
    <w:rsid w:val="000F5E4A"/>
    <w:rsid w:val="000F691E"/>
    <w:rsid w:val="00111C2F"/>
    <w:rsid w:val="00113F54"/>
    <w:rsid w:val="0012090F"/>
    <w:rsid w:val="00120E11"/>
    <w:rsid w:val="00125051"/>
    <w:rsid w:val="001277C1"/>
    <w:rsid w:val="00131183"/>
    <w:rsid w:val="00135F5C"/>
    <w:rsid w:val="0013643F"/>
    <w:rsid w:val="00142EB4"/>
    <w:rsid w:val="00161E5C"/>
    <w:rsid w:val="001744EC"/>
    <w:rsid w:val="001766DB"/>
    <w:rsid w:val="001875C5"/>
    <w:rsid w:val="001A1A83"/>
    <w:rsid w:val="001A3317"/>
    <w:rsid w:val="001B2387"/>
    <w:rsid w:val="001C3AC0"/>
    <w:rsid w:val="001C7660"/>
    <w:rsid w:val="001E2D86"/>
    <w:rsid w:val="001E5CDD"/>
    <w:rsid w:val="00206A8E"/>
    <w:rsid w:val="00216F82"/>
    <w:rsid w:val="00220CE6"/>
    <w:rsid w:val="00222DC2"/>
    <w:rsid w:val="00225756"/>
    <w:rsid w:val="002261E2"/>
    <w:rsid w:val="00236915"/>
    <w:rsid w:val="00243D16"/>
    <w:rsid w:val="00250DB7"/>
    <w:rsid w:val="002530BF"/>
    <w:rsid w:val="00261C6C"/>
    <w:rsid w:val="0026268E"/>
    <w:rsid w:val="002668E6"/>
    <w:rsid w:val="002744C2"/>
    <w:rsid w:val="00276BB3"/>
    <w:rsid w:val="002914B0"/>
    <w:rsid w:val="002922D2"/>
    <w:rsid w:val="002975E3"/>
    <w:rsid w:val="002A1B02"/>
    <w:rsid w:val="002A4D24"/>
    <w:rsid w:val="002A5866"/>
    <w:rsid w:val="002A5D25"/>
    <w:rsid w:val="002B545A"/>
    <w:rsid w:val="002D2872"/>
    <w:rsid w:val="002E28E4"/>
    <w:rsid w:val="002E6BA0"/>
    <w:rsid w:val="00311899"/>
    <w:rsid w:val="00316F31"/>
    <w:rsid w:val="00341B87"/>
    <w:rsid w:val="00342F18"/>
    <w:rsid w:val="00344BB8"/>
    <w:rsid w:val="00352CD2"/>
    <w:rsid w:val="003634F9"/>
    <w:rsid w:val="0037426C"/>
    <w:rsid w:val="00382CBE"/>
    <w:rsid w:val="003A5482"/>
    <w:rsid w:val="003B68D2"/>
    <w:rsid w:val="003B79AD"/>
    <w:rsid w:val="003D6B51"/>
    <w:rsid w:val="003E019E"/>
    <w:rsid w:val="003E11E2"/>
    <w:rsid w:val="003E42C7"/>
    <w:rsid w:val="003E4423"/>
    <w:rsid w:val="003F33FB"/>
    <w:rsid w:val="00401D8D"/>
    <w:rsid w:val="00404EA5"/>
    <w:rsid w:val="00425C27"/>
    <w:rsid w:val="004276B2"/>
    <w:rsid w:val="00435238"/>
    <w:rsid w:val="00436447"/>
    <w:rsid w:val="00437CB6"/>
    <w:rsid w:val="00445A9A"/>
    <w:rsid w:val="00455DD6"/>
    <w:rsid w:val="00484557"/>
    <w:rsid w:val="00485C8C"/>
    <w:rsid w:val="00493A94"/>
    <w:rsid w:val="004D2F8A"/>
    <w:rsid w:val="004D458C"/>
    <w:rsid w:val="004D7330"/>
    <w:rsid w:val="004E1B29"/>
    <w:rsid w:val="004E6ED1"/>
    <w:rsid w:val="004E7A49"/>
    <w:rsid w:val="004F0A09"/>
    <w:rsid w:val="004F38C1"/>
    <w:rsid w:val="00500074"/>
    <w:rsid w:val="00502833"/>
    <w:rsid w:val="00507E04"/>
    <w:rsid w:val="00516765"/>
    <w:rsid w:val="005210AB"/>
    <w:rsid w:val="0052679C"/>
    <w:rsid w:val="00541944"/>
    <w:rsid w:val="00544146"/>
    <w:rsid w:val="005560FD"/>
    <w:rsid w:val="00556C4B"/>
    <w:rsid w:val="00573F5D"/>
    <w:rsid w:val="00574B82"/>
    <w:rsid w:val="00585261"/>
    <w:rsid w:val="0058562C"/>
    <w:rsid w:val="0059169A"/>
    <w:rsid w:val="00594D0F"/>
    <w:rsid w:val="0059689A"/>
    <w:rsid w:val="005A64A6"/>
    <w:rsid w:val="005B2EBD"/>
    <w:rsid w:val="005B4B85"/>
    <w:rsid w:val="005B60EF"/>
    <w:rsid w:val="005B640C"/>
    <w:rsid w:val="005D20A9"/>
    <w:rsid w:val="005D3D57"/>
    <w:rsid w:val="005D7101"/>
    <w:rsid w:val="005E1636"/>
    <w:rsid w:val="005E35AF"/>
    <w:rsid w:val="005F385A"/>
    <w:rsid w:val="0061667A"/>
    <w:rsid w:val="00623095"/>
    <w:rsid w:val="006235C1"/>
    <w:rsid w:val="00631711"/>
    <w:rsid w:val="00633E1D"/>
    <w:rsid w:val="006473BD"/>
    <w:rsid w:val="00647D4C"/>
    <w:rsid w:val="0065173E"/>
    <w:rsid w:val="006560E8"/>
    <w:rsid w:val="0066252A"/>
    <w:rsid w:val="0069045C"/>
    <w:rsid w:val="00695C42"/>
    <w:rsid w:val="00697DD4"/>
    <w:rsid w:val="006A00F5"/>
    <w:rsid w:val="006A3616"/>
    <w:rsid w:val="006B233A"/>
    <w:rsid w:val="006C0456"/>
    <w:rsid w:val="006C41E7"/>
    <w:rsid w:val="006F3DEC"/>
    <w:rsid w:val="006F7E30"/>
    <w:rsid w:val="00702EAC"/>
    <w:rsid w:val="00707A7F"/>
    <w:rsid w:val="00713502"/>
    <w:rsid w:val="00721DE3"/>
    <w:rsid w:val="00732316"/>
    <w:rsid w:val="0073744B"/>
    <w:rsid w:val="00740E07"/>
    <w:rsid w:val="0074154C"/>
    <w:rsid w:val="00751055"/>
    <w:rsid w:val="0075417C"/>
    <w:rsid w:val="0075543A"/>
    <w:rsid w:val="00762252"/>
    <w:rsid w:val="0077541C"/>
    <w:rsid w:val="00793183"/>
    <w:rsid w:val="007B08D1"/>
    <w:rsid w:val="007C69D9"/>
    <w:rsid w:val="007C7A8E"/>
    <w:rsid w:val="007D45C5"/>
    <w:rsid w:val="007D60C7"/>
    <w:rsid w:val="007D646E"/>
    <w:rsid w:val="007E235D"/>
    <w:rsid w:val="007F1D1E"/>
    <w:rsid w:val="00802006"/>
    <w:rsid w:val="00807892"/>
    <w:rsid w:val="00813EF9"/>
    <w:rsid w:val="00817565"/>
    <w:rsid w:val="00822576"/>
    <w:rsid w:val="00830B91"/>
    <w:rsid w:val="00832E95"/>
    <w:rsid w:val="00842C4B"/>
    <w:rsid w:val="008464ED"/>
    <w:rsid w:val="00852093"/>
    <w:rsid w:val="00880063"/>
    <w:rsid w:val="0088104E"/>
    <w:rsid w:val="00883D1B"/>
    <w:rsid w:val="008B2001"/>
    <w:rsid w:val="008B6B0E"/>
    <w:rsid w:val="008B7238"/>
    <w:rsid w:val="008B7AC7"/>
    <w:rsid w:val="008C79A8"/>
    <w:rsid w:val="008C79EE"/>
    <w:rsid w:val="008E166D"/>
    <w:rsid w:val="008E2E6B"/>
    <w:rsid w:val="008E3990"/>
    <w:rsid w:val="008E55A0"/>
    <w:rsid w:val="00910A27"/>
    <w:rsid w:val="00912D5D"/>
    <w:rsid w:val="00917925"/>
    <w:rsid w:val="00926925"/>
    <w:rsid w:val="0093520F"/>
    <w:rsid w:val="00942AA7"/>
    <w:rsid w:val="00943659"/>
    <w:rsid w:val="00947C74"/>
    <w:rsid w:val="00950678"/>
    <w:rsid w:val="009549D7"/>
    <w:rsid w:val="009603A1"/>
    <w:rsid w:val="009768AC"/>
    <w:rsid w:val="00992EA4"/>
    <w:rsid w:val="009A2D7C"/>
    <w:rsid w:val="009A4590"/>
    <w:rsid w:val="009B1BA1"/>
    <w:rsid w:val="009B63AE"/>
    <w:rsid w:val="009D2FAF"/>
    <w:rsid w:val="009D4883"/>
    <w:rsid w:val="009E3C85"/>
    <w:rsid w:val="009E5944"/>
    <w:rsid w:val="009F4250"/>
    <w:rsid w:val="009F781E"/>
    <w:rsid w:val="00A130BD"/>
    <w:rsid w:val="00A22F06"/>
    <w:rsid w:val="00A2326E"/>
    <w:rsid w:val="00A31DF8"/>
    <w:rsid w:val="00A37C4A"/>
    <w:rsid w:val="00A406DD"/>
    <w:rsid w:val="00A4565C"/>
    <w:rsid w:val="00A577CB"/>
    <w:rsid w:val="00A57981"/>
    <w:rsid w:val="00A6014C"/>
    <w:rsid w:val="00A6685C"/>
    <w:rsid w:val="00A73D7B"/>
    <w:rsid w:val="00A83FF4"/>
    <w:rsid w:val="00A912DC"/>
    <w:rsid w:val="00AA1065"/>
    <w:rsid w:val="00AA3318"/>
    <w:rsid w:val="00AB3AC9"/>
    <w:rsid w:val="00AB43FE"/>
    <w:rsid w:val="00AC3C79"/>
    <w:rsid w:val="00AD342C"/>
    <w:rsid w:val="00AF48F1"/>
    <w:rsid w:val="00B11043"/>
    <w:rsid w:val="00B15F36"/>
    <w:rsid w:val="00B172B9"/>
    <w:rsid w:val="00B243B2"/>
    <w:rsid w:val="00B3005C"/>
    <w:rsid w:val="00B36C53"/>
    <w:rsid w:val="00B37108"/>
    <w:rsid w:val="00B46423"/>
    <w:rsid w:val="00B4660C"/>
    <w:rsid w:val="00B5101D"/>
    <w:rsid w:val="00B557FB"/>
    <w:rsid w:val="00B571EC"/>
    <w:rsid w:val="00B62FCE"/>
    <w:rsid w:val="00B7487C"/>
    <w:rsid w:val="00B757E2"/>
    <w:rsid w:val="00B76B80"/>
    <w:rsid w:val="00B90D3E"/>
    <w:rsid w:val="00B926AB"/>
    <w:rsid w:val="00BA05F6"/>
    <w:rsid w:val="00BA553F"/>
    <w:rsid w:val="00BC6EF3"/>
    <w:rsid w:val="00BF0A21"/>
    <w:rsid w:val="00BF2D32"/>
    <w:rsid w:val="00C046C3"/>
    <w:rsid w:val="00C136F9"/>
    <w:rsid w:val="00C37192"/>
    <w:rsid w:val="00C47AC6"/>
    <w:rsid w:val="00C534CA"/>
    <w:rsid w:val="00C636B6"/>
    <w:rsid w:val="00C66ACE"/>
    <w:rsid w:val="00C806D1"/>
    <w:rsid w:val="00C860FD"/>
    <w:rsid w:val="00C9354E"/>
    <w:rsid w:val="00C948F6"/>
    <w:rsid w:val="00CA02F4"/>
    <w:rsid w:val="00CA5C05"/>
    <w:rsid w:val="00CB28BC"/>
    <w:rsid w:val="00CB30E7"/>
    <w:rsid w:val="00CD17CA"/>
    <w:rsid w:val="00CD1E6E"/>
    <w:rsid w:val="00CD7BE2"/>
    <w:rsid w:val="00CF71A1"/>
    <w:rsid w:val="00D111D3"/>
    <w:rsid w:val="00D27886"/>
    <w:rsid w:val="00D31D2A"/>
    <w:rsid w:val="00D34727"/>
    <w:rsid w:val="00D36A9F"/>
    <w:rsid w:val="00D37A01"/>
    <w:rsid w:val="00D401D7"/>
    <w:rsid w:val="00D43373"/>
    <w:rsid w:val="00D43B32"/>
    <w:rsid w:val="00D50AF3"/>
    <w:rsid w:val="00D5385B"/>
    <w:rsid w:val="00D5464E"/>
    <w:rsid w:val="00D56E5D"/>
    <w:rsid w:val="00D77BAE"/>
    <w:rsid w:val="00D857DF"/>
    <w:rsid w:val="00D8584A"/>
    <w:rsid w:val="00D93F07"/>
    <w:rsid w:val="00D96810"/>
    <w:rsid w:val="00DB422E"/>
    <w:rsid w:val="00DC165B"/>
    <w:rsid w:val="00DC1BBE"/>
    <w:rsid w:val="00DE139A"/>
    <w:rsid w:val="00DE1C22"/>
    <w:rsid w:val="00DE396C"/>
    <w:rsid w:val="00DF716F"/>
    <w:rsid w:val="00E01862"/>
    <w:rsid w:val="00E12D62"/>
    <w:rsid w:val="00E160CD"/>
    <w:rsid w:val="00E16A90"/>
    <w:rsid w:val="00E22C14"/>
    <w:rsid w:val="00E26BA6"/>
    <w:rsid w:val="00E3028A"/>
    <w:rsid w:val="00E327F8"/>
    <w:rsid w:val="00E47D2C"/>
    <w:rsid w:val="00E52C9B"/>
    <w:rsid w:val="00E5438F"/>
    <w:rsid w:val="00E63533"/>
    <w:rsid w:val="00E84ECA"/>
    <w:rsid w:val="00E8790A"/>
    <w:rsid w:val="00EA18F1"/>
    <w:rsid w:val="00EA43D0"/>
    <w:rsid w:val="00EB3D08"/>
    <w:rsid w:val="00EB3EF6"/>
    <w:rsid w:val="00EB4E48"/>
    <w:rsid w:val="00EC0803"/>
    <w:rsid w:val="00ED05A6"/>
    <w:rsid w:val="00EF006C"/>
    <w:rsid w:val="00EF0A2E"/>
    <w:rsid w:val="00EF12CC"/>
    <w:rsid w:val="00EF508B"/>
    <w:rsid w:val="00F074EF"/>
    <w:rsid w:val="00F20345"/>
    <w:rsid w:val="00F2059A"/>
    <w:rsid w:val="00F22F0D"/>
    <w:rsid w:val="00F24B6E"/>
    <w:rsid w:val="00F34928"/>
    <w:rsid w:val="00F37550"/>
    <w:rsid w:val="00F479D1"/>
    <w:rsid w:val="00F64EEF"/>
    <w:rsid w:val="00F747F3"/>
    <w:rsid w:val="00F8358E"/>
    <w:rsid w:val="00F87FBF"/>
    <w:rsid w:val="00F91085"/>
    <w:rsid w:val="00F95718"/>
    <w:rsid w:val="00FA2169"/>
    <w:rsid w:val="00FA3C2E"/>
    <w:rsid w:val="00FB1246"/>
    <w:rsid w:val="00FC0C43"/>
    <w:rsid w:val="00FC4044"/>
    <w:rsid w:val="00FD2B22"/>
    <w:rsid w:val="00FE5332"/>
    <w:rsid w:val="00FE6E2C"/>
    <w:rsid w:val="00FE74D6"/>
    <w:rsid w:val="00FF06D0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5B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538F7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DE1C22"/>
    <w:pPr>
      <w:ind w:left="720"/>
      <w:contextualSpacing/>
    </w:pPr>
  </w:style>
  <w:style w:type="character" w:customStyle="1" w:styleId="a">
    <w:name w:val="Основной текст_"/>
    <w:basedOn w:val="DefaultParagraphFont"/>
    <w:link w:val="a0"/>
    <w:rsid w:val="00822576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822576"/>
    <w:pPr>
      <w:widowControl w:val="0"/>
      <w:shd w:val="clear" w:color="auto" w:fill="FFFFFF"/>
      <w:spacing w:after="0" w:line="312" w:lineRule="exact"/>
      <w:jc w:val="right"/>
    </w:pPr>
    <w:rPr>
      <w:rFonts w:ascii="Arial Unicode MS" w:eastAsia="Arial Unicode MS" w:hAnsi="Arial Unicode MS" w:cs="Arial Unicode MS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0538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1">
    <w:name w:val="Основной текст + Курсив"/>
    <w:aliases w:val="Интервал -1 pt"/>
    <w:basedOn w:val="a"/>
    <w:rsid w:val="008E55A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7A4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A4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E7A49"/>
    <w:rPr>
      <w:vertAlign w:val="superscript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341B87"/>
  </w:style>
  <w:style w:type="character" w:styleId="Hyperlink">
    <w:name w:val="Hyperlink"/>
    <w:basedOn w:val="DefaultParagraphFont"/>
    <w:uiPriority w:val="99"/>
    <w:unhideWhenUsed/>
    <w:rsid w:val="0075543A"/>
    <w:rPr>
      <w:color w:val="0000FF" w:themeColor="hyperlink"/>
      <w:u w:val="single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E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E1B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5E35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urt.am/news/21-08-2018/%D5%80%D5%A1%D5%B5%D5%A5%D6%81%D5%A1%D5%AF%D5%A1%D6%80%D5%A3.pdf" TargetMode="External"/><Relationship Id="rId2" Type="http://schemas.openxmlformats.org/officeDocument/2006/relationships/hyperlink" Target="https://www.riigiteataja.ee/en/eli/513122013001/consolide" TargetMode="External"/><Relationship Id="rId1" Type="http://schemas.openxmlformats.org/officeDocument/2006/relationships/hyperlink" Target="http://www.wipo.int/edocs/lexdocs/laws/en/jp/jp175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507FA-641D-4F6D-9D01-52AB00CC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25</Pages>
  <Words>2364</Words>
  <Characters>13477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https://mul2.gov.am/tasks/67862/oneclick/Ampopatert_parzecvac_qax_dat.docx?token=738a4d4933dbd193a677ddec2b5bf292</cp:keywords>
</cp:coreProperties>
</file>