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B8" w:rsidRPr="005E34B8" w:rsidRDefault="005E34B8" w:rsidP="005E34B8">
      <w:pPr>
        <w:shd w:val="clear" w:color="auto" w:fill="FFFFFF"/>
        <w:spacing w:after="360" w:line="270" w:lineRule="atLeast"/>
        <w:ind w:firstLine="720"/>
        <w:jc w:val="center"/>
        <w:rPr>
          <w:rFonts w:ascii="GHEA Grapalat" w:eastAsia="Times New Roman" w:hAnsi="GHEA Grapalat" w:cs="Arian AMU"/>
          <w:b/>
          <w:shadow/>
          <w:sz w:val="24"/>
          <w:szCs w:val="24"/>
          <w:lang w:eastAsia="ru-RU"/>
        </w:rPr>
      </w:pPr>
      <w:r w:rsidRPr="00053FBA">
        <w:rPr>
          <w:rFonts w:ascii="GHEA Grapalat" w:eastAsia="Times New Roman" w:hAnsi="GHEA Grapalat" w:cs="Arian AMU"/>
          <w:b/>
          <w:shadow/>
          <w:sz w:val="24"/>
          <w:szCs w:val="24"/>
          <w:lang w:val="hy-AM" w:eastAsia="ru-RU"/>
        </w:rPr>
        <w:t>ՀԻՄՆԱՎՈՐՈՒՄ</w:t>
      </w:r>
    </w:p>
    <w:p w:rsidR="005E34B8" w:rsidRPr="005E34B8" w:rsidRDefault="00AC2681" w:rsidP="00DB63D5">
      <w:pPr>
        <w:spacing w:after="720" w:line="360" w:lineRule="auto"/>
        <w:ind w:firstLine="720"/>
        <w:jc w:val="center"/>
        <w:outlineLvl w:val="3"/>
        <w:rPr>
          <w:rFonts w:ascii="GHEA Grapalat" w:eastAsia="Times New Roman" w:hAnsi="GHEA Grapalat" w:cs="GHEA Grapalat"/>
          <w:b/>
          <w:bCs/>
          <w:shadow/>
          <w:color w:val="000000"/>
          <w:sz w:val="24"/>
          <w:szCs w:val="24"/>
        </w:rPr>
      </w:pPr>
      <w:r>
        <w:rPr>
          <w:rFonts w:ascii="GHEA Grapalat" w:hAnsi="GHEA Grapalat"/>
          <w:b/>
          <w:shadow/>
          <w:sz w:val="24"/>
          <w:szCs w:val="24"/>
          <w:lang w:val="hy-AM"/>
        </w:rPr>
        <w:t>«</w:t>
      </w:r>
      <w:r w:rsidRPr="00DB63D5">
        <w:rPr>
          <w:rFonts w:ascii="GHEA Grapalat" w:hAnsi="GHEA Grapalat"/>
          <w:b/>
          <w:shadow/>
          <w:sz w:val="24"/>
          <w:szCs w:val="24"/>
          <w:lang w:val="hy-AM"/>
        </w:rPr>
        <w:t>«</w:t>
      </w:r>
      <w:r>
        <w:rPr>
          <w:rFonts w:ascii="GHEA Grapalat" w:hAnsi="GHEA Grapalat"/>
          <w:b/>
          <w:shadow/>
          <w:sz w:val="24"/>
          <w:szCs w:val="24"/>
          <w:lang w:val="hy-AM"/>
        </w:rPr>
        <w:t>ՕՏԱՐԵՐԿՐԱՑԻՆԵՐԻ ՄԱՍԻՆ</w:t>
      </w:r>
      <w:r w:rsidRPr="00DB63D5">
        <w:rPr>
          <w:rFonts w:ascii="GHEA Grapalat" w:hAnsi="GHEA Grapalat"/>
          <w:b/>
          <w:shadow/>
          <w:sz w:val="24"/>
          <w:szCs w:val="24"/>
          <w:lang w:val="hy-AM"/>
        </w:rPr>
        <w:t>» ՀԱՅԱՍՏԱՆԻ ՀԱՆՐԱՊԵՏՈՒԹՅԱՆ ՕՐԵՆՔ</w:t>
      </w:r>
      <w:r>
        <w:rPr>
          <w:rFonts w:ascii="GHEA Grapalat" w:hAnsi="GHEA Grapalat"/>
          <w:b/>
          <w:shadow/>
          <w:sz w:val="24"/>
          <w:szCs w:val="24"/>
          <w:lang w:val="hy-AM"/>
        </w:rPr>
        <w:t xml:space="preserve">ՈՒՄ ԼՐԱՑՈՒՄՆԵՐ </w:t>
      </w:r>
      <w:r w:rsidR="003C187C">
        <w:rPr>
          <w:rFonts w:ascii="GHEA Grapalat" w:hAnsi="GHEA Grapalat"/>
          <w:b/>
          <w:shadow/>
          <w:sz w:val="24"/>
          <w:szCs w:val="24"/>
          <w:lang w:val="hy-AM"/>
        </w:rPr>
        <w:t xml:space="preserve">ԵՎ ՓՈՓՈԽՈՒԹՅՈՒՆՆԵՐ </w:t>
      </w:r>
      <w:r>
        <w:rPr>
          <w:rFonts w:ascii="GHEA Grapalat" w:hAnsi="GHEA Grapalat"/>
          <w:b/>
          <w:shadow/>
          <w:sz w:val="24"/>
          <w:szCs w:val="24"/>
          <w:lang w:val="hy-AM"/>
        </w:rPr>
        <w:t xml:space="preserve">ԿԱՏԱՐԵԼՈՒ ՄԱՍԻՆ» ՀԱՅԱՍՏԱՆԻ ՀԱՆՐԱՊԵՏՈՒԹՅԱՆ ՕՐԵՆՔԻ </w:t>
      </w:r>
      <w:r w:rsidRPr="00DB63D5">
        <w:rPr>
          <w:rFonts w:ascii="GHEA Grapalat" w:hAnsi="GHEA Grapalat" w:cs="Sylfaen"/>
          <w:b/>
          <w:shadow/>
          <w:sz w:val="24"/>
          <w:szCs w:val="24"/>
          <w:lang w:val="hy-AM"/>
        </w:rPr>
        <w:t>ՆԱԽԱԳԾԻ</w:t>
      </w:r>
    </w:p>
    <w:p w:rsidR="005E34B8" w:rsidRPr="00053FBA" w:rsidRDefault="005E34B8" w:rsidP="005E34B8">
      <w:pPr>
        <w:shd w:val="clear" w:color="auto" w:fill="FFFFFF"/>
        <w:spacing w:after="0" w:line="270" w:lineRule="atLeast"/>
        <w:ind w:firstLine="720"/>
        <w:jc w:val="center"/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</w:pPr>
    </w:p>
    <w:p w:rsidR="005E34B8" w:rsidRPr="00053FBA" w:rsidRDefault="005E34B8" w:rsidP="005E34B8">
      <w:pPr>
        <w:pStyle w:val="ListParagraph"/>
        <w:numPr>
          <w:ilvl w:val="0"/>
          <w:numId w:val="1"/>
        </w:numPr>
        <w:shd w:val="clear" w:color="auto" w:fill="FFFFFF"/>
        <w:spacing w:after="360" w:line="360" w:lineRule="auto"/>
        <w:ind w:left="0" w:firstLine="720"/>
        <w:contextualSpacing w:val="0"/>
        <w:jc w:val="both"/>
        <w:rPr>
          <w:rFonts w:ascii="GHEA Grapalat" w:eastAsia="Times New Roman" w:hAnsi="GHEA Grapalat" w:cs="Arian AMU"/>
          <w:b/>
          <w:shadow/>
          <w:sz w:val="24"/>
          <w:szCs w:val="24"/>
          <w:lang w:val="hy-AM" w:eastAsia="ru-RU"/>
        </w:rPr>
      </w:pPr>
      <w:r w:rsidRPr="00053FBA">
        <w:rPr>
          <w:rFonts w:ascii="GHEA Grapalat" w:eastAsia="Times New Roman" w:hAnsi="GHEA Grapalat" w:cs="Arian AMU"/>
          <w:b/>
          <w:shadow/>
          <w:sz w:val="24"/>
          <w:szCs w:val="24"/>
          <w:u w:val="single"/>
          <w:lang w:val="hy-AM" w:eastAsia="ru-RU"/>
        </w:rPr>
        <w:t>Ընթացիկ իրավիճակը և ակտի ընդունման անհրաժեշտությունը</w:t>
      </w:r>
    </w:p>
    <w:p w:rsidR="00291D12" w:rsidRDefault="00291D12" w:rsidP="00B03ABD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GHEA Grapalat" w:eastAsiaTheme="minorHAnsi" w:hAnsi="GHEA Grapalat" w:cstheme="minorBidi"/>
          <w:shadow/>
          <w:noProof/>
          <w:color w:val="000000"/>
          <w:lang w:val="hy-AM"/>
        </w:rPr>
      </w:pPr>
      <w:r w:rsidRPr="00DB63D5">
        <w:rPr>
          <w:rFonts w:ascii="GHEA Grapalat" w:hAnsi="GHEA Grapalat"/>
          <w:shadow/>
          <w:lang w:val="hy-AM"/>
        </w:rPr>
        <w:t>«</w:t>
      </w:r>
      <w:r>
        <w:rPr>
          <w:rFonts w:ascii="GHEA Grapalat" w:hAnsi="GHEA Grapalat"/>
          <w:shadow/>
          <w:lang w:val="hy-AM"/>
        </w:rPr>
        <w:t>Օտարերկրացիների մասին» Հայաստանի Հանրապետության օրենքում լրացումներ</w:t>
      </w:r>
      <w:r w:rsidR="003C187C">
        <w:rPr>
          <w:rFonts w:ascii="GHEA Grapalat" w:hAnsi="GHEA Grapalat"/>
          <w:shadow/>
          <w:lang w:val="hy-AM"/>
        </w:rPr>
        <w:t xml:space="preserve"> և փոփոխություններ</w:t>
      </w:r>
      <w:r>
        <w:rPr>
          <w:rFonts w:ascii="GHEA Grapalat" w:hAnsi="GHEA Grapalat"/>
          <w:shadow/>
          <w:lang w:val="hy-AM"/>
        </w:rPr>
        <w:t xml:space="preserve"> կատարելու մասին» </w:t>
      </w:r>
      <w:r w:rsidRPr="00DB63D5">
        <w:rPr>
          <w:rFonts w:ascii="GHEA Grapalat" w:hAnsi="GHEA Grapalat"/>
          <w:shadow/>
          <w:lang w:val="hy-AM"/>
        </w:rPr>
        <w:t>Հայաստանի Հանրապետության օրենքի նախագծի</w:t>
      </w:r>
      <w:r w:rsidR="00B03ABD" w:rsidRPr="00B03ABD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ընդունումը պայմանավորված է նրանով, որ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</w:t>
      </w:r>
      <w:r w:rsidRPr="00DB63D5">
        <w:rPr>
          <w:rFonts w:ascii="GHEA Grapalat" w:hAnsi="GHEA Grapalat"/>
          <w:shadow/>
          <w:lang w:val="hy-AM"/>
        </w:rPr>
        <w:t>«</w:t>
      </w:r>
      <w:r>
        <w:rPr>
          <w:rFonts w:ascii="GHEA Grapalat" w:hAnsi="GHEA Grapalat"/>
          <w:shadow/>
          <w:lang w:val="hy-AM"/>
        </w:rPr>
        <w:t xml:space="preserve">Օտարերկրացիների մասին» Հայաստանի Հանրապետության օրենքով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սահմանված կարգով </w:t>
      </w:r>
      <w:r w:rsidR="006D7F79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ներկայումս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օտարերկրացու արտաքսումը Հայաստանի Հանրապետությունից հնարավոր է իրականացնել </w:t>
      </w:r>
      <w:r w:rsidR="006D7F79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միայն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նրա՝ Հայաստանի Հանրապետությունում գտնվելու կամ բնակվելու օրինական հիմքերի բացակայության դեպքում:</w:t>
      </w:r>
    </w:p>
    <w:p w:rsidR="004D369B" w:rsidRDefault="00291D12" w:rsidP="00DD15FC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GHEA Grapalat" w:eastAsiaTheme="minorHAnsi" w:hAnsi="GHEA Grapalat" w:cstheme="minorBidi"/>
          <w:shadow/>
          <w:noProof/>
          <w:color w:val="000000"/>
          <w:lang w:val="hy-AM"/>
        </w:rPr>
      </w:pP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Հայաստանի Հանրա</w:t>
      </w:r>
      <w:r w:rsidR="006D7F79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պե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տությունն իր արտաքին քաղաքականությունը իրականացնում է բաց վիզային ռեժիմով, իսկ </w:t>
      </w:r>
      <w:r w:rsidR="006D7F79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որոշ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երկրների հետ</w:t>
      </w:r>
      <w:r w:rsidR="004D369B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՝ առհասարակ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առանց վիզային ռեժիմի, ինչի արդյունքում Հայաստանի </w:t>
      </w:r>
      <w:r w:rsidR="004D369B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Հ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անրապետություն ազատ մուտքը հասանելի է բազմաթիվ օտարերկրյա քաղաքացիների:</w:t>
      </w:r>
    </w:p>
    <w:p w:rsidR="006D7F79" w:rsidRDefault="004D369B" w:rsidP="00DD15FC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GHEA Grapalat" w:eastAsiaTheme="minorHAnsi" w:hAnsi="GHEA Grapalat" w:cstheme="minorBidi"/>
          <w:shadow/>
          <w:noProof/>
          <w:color w:val="000000"/>
          <w:lang w:val="hy-AM"/>
        </w:rPr>
      </w:pP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Վերը նշված հանգամանքը, ցավոք, հանգեցնում է նաև բազմաթիվ օտարերկրյա քաղաքացիների կողմից Հայաստանի </w:t>
      </w:r>
      <w:r w:rsidR="00617A0F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Հ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անրապետության օրենքների խախտումների և հաճախ նաև քրեորեն պատժելի արարքներ կատարելու պատճառով </w:t>
      </w:r>
      <w:r w:rsidR="006D7F79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վերջիններս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պատիժ են կրում Հայաստանի </w:t>
      </w:r>
      <w:r w:rsidR="00617A0F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Հ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անրապետությունում: </w:t>
      </w:r>
    </w:p>
    <w:p w:rsidR="00617A0F" w:rsidRDefault="006D7F79" w:rsidP="00DD15FC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GHEA Grapalat" w:eastAsiaTheme="minorHAnsi" w:hAnsi="GHEA Grapalat" w:cstheme="minorBidi"/>
          <w:shadow/>
          <w:noProof/>
          <w:color w:val="000000"/>
          <w:lang w:val="hy-AM"/>
        </w:rPr>
      </w:pP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Հիմք ընդունելով դատապարտյալների փոխանցման ոլորտը կարգավորող Հայաստանի Հանրապետության միջազգային պայմանագրերը, ինչպես նաև հ</w:t>
      </w:r>
      <w:r w:rsidR="004D369B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աշվի առնելով ՀՀ քրեակատարողական հիմնարկների գերբեռնվածության խնդրի լուծման անհրաժեշտությունը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՝</w:t>
      </w:r>
      <w:r w:rsidR="00617A0F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ՀՀ արդարադատության նախարարությունը 2013-2018թթ </w:t>
      </w:r>
      <w:r w:rsidR="00617A0F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lastRenderedPageBreak/>
        <w:t>ընթացքում իրենց քաղաքացիության երկրներում ՀՀ դատավճռով սահմանված հետագա պատիժը կրելու նպատակով օտարերկրյա պետություններ է փոխանցել ավելի քան 200 դատապարտյալների:</w:t>
      </w:r>
    </w:p>
    <w:p w:rsidR="00617A0F" w:rsidRDefault="00617A0F" w:rsidP="00DD15FC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GHEA Grapalat" w:eastAsiaTheme="minorHAnsi" w:hAnsi="GHEA Grapalat" w:cstheme="minorBidi"/>
          <w:shadow/>
          <w:noProof/>
          <w:color w:val="000000"/>
          <w:lang w:val="hy-AM"/>
        </w:rPr>
      </w:pP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Դատապարտյալների փոխանցման միջազգային</w:t>
      </w:r>
      <w:r w:rsidR="0060678D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, ինչպես նաև հայաստանյան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</w:t>
      </w:r>
      <w:r w:rsidR="0060678D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փորձի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ուսունասիրությունը ցույց է տալիս, որ մեծամասամբ </w:t>
      </w:r>
      <w:r w:rsidR="0060678D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դատապարտված օտարերկրացիների նկատմամբ օրինական հիմքերով և միջազգային պայմանագրերով սահմանված կարգով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դատապարտյալի փոխանցման գործընթացի ավարտից հետո </w:t>
      </w:r>
      <w:r w:rsidR="0060678D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նրանց նկատմամբ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կիրառվում են պայմանական վաղակետ ազատման</w:t>
      </w:r>
      <w:r w:rsidR="0060678D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, համաներման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կամ ներման ինստիտուտները, </w:t>
      </w:r>
      <w:r w:rsidR="0060678D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որոնց 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արդյունքում նշված դատապարտյալները կրկին հայտնվում են ազատության մեջ</w:t>
      </w:r>
      <w:r w:rsidR="0060678D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և հետևաբար հնարավորություն են ստանում կրկին վերադառնալ Հայաստանի Հանրապետություն: </w:t>
      </w:r>
    </w:p>
    <w:p w:rsidR="0060678D" w:rsidRDefault="0060678D" w:rsidP="00DD15FC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GHEA Grapalat" w:eastAsiaTheme="minorHAnsi" w:hAnsi="GHEA Grapalat" w:cstheme="minorBidi"/>
          <w:shadow/>
          <w:noProof/>
          <w:color w:val="000000"/>
          <w:lang w:val="hy-AM"/>
        </w:rPr>
      </w:pP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Մի շարք օտարերկրա պետություններ </w:t>
      </w:r>
      <w:r w:rsidRPr="0060678D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(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Մեծ Բրիտանիան, Ռուսաստանի Դաշնությունը</w:t>
      </w:r>
      <w:r w:rsidR="006D7F79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, Ֆրանսիան</w:t>
      </w:r>
      <w:r w:rsidRPr="0060678D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)</w:t>
      </w: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</w:t>
      </w:r>
      <w:r w:rsidR="00EB077E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վերը նշված խնդրի լուծման նպատակով ներպետական օրենսդրությամբ սահմանել են իրենց երկրներում օտարերկրացիների արտաքսման հնարավորությունը, այն դեպքում երբ վերջիններս իրենց երկրներու</w:t>
      </w:r>
      <w:r w:rsidR="006D7F79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մ</w:t>
      </w:r>
      <w:r w:rsidR="00EB077E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կատարել են քրեորեն պատժելի արարք</w:t>
      </w:r>
      <w:r w:rsidR="006D7F79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ներ</w:t>
      </w:r>
      <w:r w:rsidR="00EB077E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>:</w:t>
      </w:r>
    </w:p>
    <w:p w:rsidR="004D369B" w:rsidRDefault="00617A0F" w:rsidP="00DD15FC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GHEA Grapalat" w:eastAsiaTheme="minorHAnsi" w:hAnsi="GHEA Grapalat" w:cstheme="minorBidi"/>
          <w:shadow/>
          <w:noProof/>
          <w:color w:val="000000"/>
          <w:lang w:val="hy-AM"/>
        </w:rPr>
      </w:pP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 </w:t>
      </w:r>
      <w:r w:rsidR="004D369B"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</w:t>
      </w:r>
    </w:p>
    <w:p w:rsidR="00E75C6D" w:rsidRPr="00E75C6D" w:rsidRDefault="00291D12" w:rsidP="004D36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rFonts w:ascii="GHEA Grapalat" w:hAnsi="GHEA Grapalat" w:cs="Arian AMU"/>
          <w:b/>
          <w:shadow/>
          <w:lang w:val="hy-AM" w:eastAsia="ru-RU"/>
        </w:rPr>
      </w:pPr>
      <w:r>
        <w:rPr>
          <w:rFonts w:ascii="GHEA Grapalat" w:eastAsiaTheme="minorHAnsi" w:hAnsi="GHEA Grapalat" w:cstheme="minorBidi"/>
          <w:shadow/>
          <w:noProof/>
          <w:color w:val="000000"/>
          <w:lang w:val="hy-AM"/>
        </w:rPr>
        <w:t xml:space="preserve"> </w:t>
      </w:r>
      <w:r w:rsidR="00E75C6D" w:rsidRPr="00E75C6D">
        <w:rPr>
          <w:rFonts w:ascii="GHEA Grapalat" w:hAnsi="GHEA Grapalat" w:cs="Arian AMU"/>
          <w:b/>
          <w:shadow/>
          <w:u w:val="single"/>
          <w:lang w:val="hy-AM" w:eastAsia="ru-RU"/>
        </w:rPr>
        <w:t xml:space="preserve">Նախագծով առաջարկվող կարգավորումների բնույթը </w:t>
      </w:r>
    </w:p>
    <w:p w:rsidR="00DC7399" w:rsidRDefault="00EB077E" w:rsidP="00DC7399">
      <w:pPr>
        <w:pStyle w:val="ListParagraph"/>
        <w:shd w:val="clear" w:color="auto" w:fill="FFFFFF"/>
        <w:spacing w:after="360" w:line="360" w:lineRule="auto"/>
        <w:ind w:left="0" w:firstLine="720"/>
        <w:jc w:val="both"/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</w:pPr>
      <w:r w:rsidRPr="00DB63D5">
        <w:rPr>
          <w:rFonts w:ascii="GHEA Grapalat" w:hAnsi="GHEA Grapalat"/>
          <w:shadow/>
          <w:sz w:val="24"/>
          <w:szCs w:val="24"/>
          <w:lang w:val="hy-AM"/>
        </w:rPr>
        <w:t>«</w:t>
      </w:r>
      <w:r>
        <w:rPr>
          <w:rFonts w:ascii="GHEA Grapalat" w:hAnsi="GHEA Grapalat"/>
          <w:shadow/>
          <w:sz w:val="24"/>
          <w:szCs w:val="24"/>
          <w:lang w:val="hy-AM"/>
        </w:rPr>
        <w:t>Օտարերկրացիների մասին» Հայաստանի Հանրապետության օրենքում լրացումներ</w:t>
      </w:r>
      <w:r w:rsidR="003C187C">
        <w:rPr>
          <w:rFonts w:ascii="GHEA Grapalat" w:hAnsi="GHEA Grapalat"/>
          <w:shadow/>
          <w:sz w:val="24"/>
          <w:szCs w:val="24"/>
          <w:lang w:val="hy-AM"/>
        </w:rPr>
        <w:t xml:space="preserve"> և փոփոխություններ</w:t>
      </w:r>
      <w:r>
        <w:rPr>
          <w:rFonts w:ascii="GHEA Grapalat" w:hAnsi="GHEA Grapalat"/>
          <w:shadow/>
          <w:sz w:val="24"/>
          <w:szCs w:val="24"/>
          <w:lang w:val="hy-AM"/>
        </w:rPr>
        <w:t xml:space="preserve"> կատարելու մասին» </w:t>
      </w:r>
      <w:r w:rsidRPr="00DB63D5">
        <w:rPr>
          <w:rFonts w:ascii="GHEA Grapalat" w:hAnsi="GHEA Grapalat"/>
          <w:shadow/>
          <w:sz w:val="24"/>
          <w:szCs w:val="24"/>
          <w:lang w:val="hy-AM"/>
        </w:rPr>
        <w:t>Հայաստանի Հանրապետության օրենքի նախագծ</w:t>
      </w:r>
      <w:r w:rsidR="00E75C6D" w:rsidRPr="00E75C6D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ով առաջարկվում է 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սահմանել օտարերկրացիների արտաքսման հնարավորությունը ոչ միայն Հայաստանի Հանրապետությունում գտնվելու կամ բնակվելու օրինական հիմքերի բացակայության</w:t>
      </w:r>
      <w:r w:rsidR="006D7F7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դեպքում, այլ նաև օտար</w:t>
      </w:r>
      <w:r w:rsidR="006D7F7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ե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կրացիների կողմից Հայաստանի </w:t>
      </w:r>
      <w:r w:rsidR="00DC739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անրապետութ</w:t>
      </w:r>
      <w:r w:rsidR="006D7F7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ուն</w:t>
      </w:r>
      <w:r w:rsidR="006D7F7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ո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ւմ հանցագործություն կատարելու համար օրինական ուժի մեջ մտած դատավճռով ազատազրկման դատապարտվելու դեպքում</w:t>
      </w:r>
      <w:r w:rsidR="00E5065A" w:rsidRPr="00E5065A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: </w:t>
      </w:r>
    </w:p>
    <w:p w:rsidR="00DC7399" w:rsidRDefault="00DC7399" w:rsidP="00DC7399">
      <w:pPr>
        <w:pStyle w:val="ListParagraph"/>
        <w:shd w:val="clear" w:color="auto" w:fill="FFFFFF"/>
        <w:spacing w:after="360" w:line="360" w:lineRule="auto"/>
        <w:ind w:left="0" w:firstLine="720"/>
        <w:jc w:val="both"/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</w:pPr>
    </w:p>
    <w:p w:rsidR="005E34B8" w:rsidRPr="00053FBA" w:rsidRDefault="005E34B8" w:rsidP="00DC7399">
      <w:pPr>
        <w:pStyle w:val="ListParagraph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GHEA Grapalat" w:eastAsia="Times New Roman" w:hAnsi="GHEA Grapalat" w:cs="Arian AMU"/>
          <w:b/>
          <w:shadow/>
          <w:sz w:val="24"/>
          <w:szCs w:val="24"/>
          <w:lang w:val="hy-AM" w:eastAsia="ru-RU"/>
        </w:rPr>
      </w:pPr>
      <w:r w:rsidRPr="00053FBA">
        <w:rPr>
          <w:rFonts w:ascii="GHEA Grapalat" w:eastAsia="Times New Roman" w:hAnsi="GHEA Grapalat" w:cs="Arian AMU"/>
          <w:b/>
          <w:shadow/>
          <w:sz w:val="24"/>
          <w:szCs w:val="24"/>
          <w:u w:val="single"/>
          <w:lang w:val="hy-AM" w:eastAsia="ru-RU"/>
        </w:rPr>
        <w:lastRenderedPageBreak/>
        <w:t>Նախագծի մշակման գործընթացում ներգրավված ինստիտուտները և անձինք</w:t>
      </w:r>
    </w:p>
    <w:p w:rsidR="005E34B8" w:rsidRPr="002F04A0" w:rsidRDefault="00DC7399" w:rsidP="00DC4FCB">
      <w:pPr>
        <w:pStyle w:val="Style22"/>
        <w:widowControl/>
        <w:spacing w:after="720" w:line="360" w:lineRule="auto"/>
        <w:ind w:firstLine="720"/>
        <w:rPr>
          <w:rFonts w:ascii="GHEA Grapalat" w:hAnsi="GHEA Grapalat" w:cs="Sylfaen"/>
          <w:shadow/>
          <w:color w:val="000000"/>
          <w:lang w:val="hy-AM"/>
        </w:rPr>
      </w:pPr>
      <w:r w:rsidRPr="00DB63D5">
        <w:rPr>
          <w:rFonts w:ascii="GHEA Grapalat" w:hAnsi="GHEA Grapalat"/>
          <w:shadow/>
          <w:lang w:val="hy-AM"/>
        </w:rPr>
        <w:t>«</w:t>
      </w:r>
      <w:r>
        <w:rPr>
          <w:rFonts w:ascii="GHEA Grapalat" w:hAnsi="GHEA Grapalat"/>
          <w:shadow/>
          <w:lang w:val="hy-AM"/>
        </w:rPr>
        <w:t>Օտարերկրացիների մասին» Հայաստանի Հանրապետության օրենքում լրացումներ</w:t>
      </w:r>
      <w:r w:rsidR="003C187C">
        <w:rPr>
          <w:rFonts w:ascii="GHEA Grapalat" w:hAnsi="GHEA Grapalat"/>
          <w:shadow/>
          <w:lang w:val="hy-AM"/>
        </w:rPr>
        <w:t xml:space="preserve"> և փոփոխություններ</w:t>
      </w:r>
      <w:r>
        <w:rPr>
          <w:rFonts w:ascii="GHEA Grapalat" w:hAnsi="GHEA Grapalat"/>
          <w:shadow/>
          <w:lang w:val="hy-AM"/>
        </w:rPr>
        <w:t xml:space="preserve"> կատարելու մասին» </w:t>
      </w:r>
      <w:r w:rsidRPr="00DB63D5">
        <w:rPr>
          <w:rFonts w:ascii="GHEA Grapalat" w:hAnsi="GHEA Grapalat"/>
          <w:shadow/>
          <w:lang w:val="hy-AM"/>
        </w:rPr>
        <w:t xml:space="preserve">Հայաստանի Հանրապետության օրենքի </w:t>
      </w:r>
      <w:r w:rsidR="00E5065A" w:rsidRPr="00E5065A">
        <w:rPr>
          <w:rFonts w:ascii="GHEA Grapalat" w:hAnsi="GHEA Grapalat" w:cs="Sylfaen"/>
          <w:shadow/>
          <w:color w:val="000000"/>
          <w:lang w:val="hy-AM"/>
        </w:rPr>
        <w:t>ն</w:t>
      </w:r>
      <w:r w:rsidR="005E34B8" w:rsidRPr="00053FBA">
        <w:rPr>
          <w:rFonts w:ascii="GHEA Grapalat" w:hAnsi="GHEA Grapalat" w:cs="Sylfaen"/>
          <w:shadow/>
          <w:color w:val="000000"/>
          <w:lang w:val="hy-AM"/>
        </w:rPr>
        <w:t xml:space="preserve">ախագիծը մշակվել է Հայաստանի Հանրապետության արդարադատության նախարարության կողմից: </w:t>
      </w:r>
    </w:p>
    <w:p w:rsidR="0047277D" w:rsidRPr="0047277D" w:rsidRDefault="005E34B8" w:rsidP="00DC4FCB">
      <w:pPr>
        <w:pStyle w:val="ListParagraph"/>
        <w:numPr>
          <w:ilvl w:val="0"/>
          <w:numId w:val="1"/>
        </w:numPr>
        <w:shd w:val="clear" w:color="auto" w:fill="FFFFFF"/>
        <w:spacing w:after="360" w:line="360" w:lineRule="auto"/>
        <w:ind w:left="0" w:firstLine="720"/>
        <w:contextualSpacing w:val="0"/>
        <w:jc w:val="both"/>
        <w:rPr>
          <w:rFonts w:ascii="GHEA Grapalat" w:eastAsia="Times New Roman" w:hAnsi="GHEA Grapalat" w:cs="Arian AMU"/>
          <w:b/>
          <w:shadow/>
          <w:sz w:val="24"/>
          <w:szCs w:val="24"/>
          <w:lang w:val="hy-AM" w:eastAsia="ru-RU"/>
        </w:rPr>
      </w:pPr>
      <w:r w:rsidRPr="00053FBA">
        <w:rPr>
          <w:rFonts w:ascii="GHEA Grapalat" w:eastAsia="Times New Roman" w:hAnsi="GHEA Grapalat" w:cs="Arian AMU"/>
          <w:b/>
          <w:shadow/>
          <w:sz w:val="24"/>
          <w:szCs w:val="24"/>
          <w:u w:val="single"/>
          <w:lang w:val="hy-AM" w:eastAsia="ru-RU"/>
        </w:rPr>
        <w:t>Ակնկալվող արդյունքը</w:t>
      </w:r>
    </w:p>
    <w:p w:rsidR="00DC7399" w:rsidRDefault="00DC7399" w:rsidP="00DC4FCB">
      <w:pPr>
        <w:pStyle w:val="ListParagraph"/>
        <w:shd w:val="clear" w:color="auto" w:fill="FFFFFF"/>
        <w:spacing w:after="360" w:line="360" w:lineRule="auto"/>
        <w:ind w:left="0" w:firstLine="720"/>
        <w:contextualSpacing w:val="0"/>
        <w:jc w:val="both"/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</w:pPr>
      <w:r w:rsidRPr="00DB63D5">
        <w:rPr>
          <w:rFonts w:ascii="GHEA Grapalat" w:hAnsi="GHEA Grapalat"/>
          <w:shadow/>
          <w:sz w:val="24"/>
          <w:szCs w:val="24"/>
          <w:lang w:val="hy-AM"/>
        </w:rPr>
        <w:t>«</w:t>
      </w:r>
      <w:r>
        <w:rPr>
          <w:rFonts w:ascii="GHEA Grapalat" w:hAnsi="GHEA Grapalat"/>
          <w:shadow/>
          <w:sz w:val="24"/>
          <w:szCs w:val="24"/>
          <w:lang w:val="hy-AM"/>
        </w:rPr>
        <w:t>Օտարերկրացիների մասին» Հայաստանի Հանրապետության օրենքում լրացումներ</w:t>
      </w:r>
      <w:r w:rsidR="003C187C">
        <w:rPr>
          <w:rFonts w:ascii="GHEA Grapalat" w:hAnsi="GHEA Grapalat"/>
          <w:shadow/>
          <w:sz w:val="24"/>
          <w:szCs w:val="24"/>
          <w:lang w:val="hy-AM"/>
        </w:rPr>
        <w:t xml:space="preserve"> և փոփոխություններ</w:t>
      </w:r>
      <w:r>
        <w:rPr>
          <w:rFonts w:ascii="GHEA Grapalat" w:hAnsi="GHEA Grapalat"/>
          <w:shadow/>
          <w:sz w:val="24"/>
          <w:szCs w:val="24"/>
          <w:lang w:val="hy-AM"/>
        </w:rPr>
        <w:t xml:space="preserve"> կատարելու մասին» </w:t>
      </w:r>
      <w:r w:rsidRPr="00DB63D5">
        <w:rPr>
          <w:rFonts w:ascii="GHEA Grapalat" w:hAnsi="GHEA Grapalat"/>
          <w:shadow/>
          <w:sz w:val="24"/>
          <w:szCs w:val="24"/>
          <w:lang w:val="hy-AM"/>
        </w:rPr>
        <w:t>Հայաստանի Հանրապետության օրենքի</w:t>
      </w:r>
      <w:r w:rsidRPr="0047277D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 </w:t>
      </w:r>
      <w:r w:rsidR="0047277D" w:rsidRPr="0047277D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ընդունման արդյունքում հնարավոր կլինի 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ոչ միայն հստակեցնել արտաքսման պատճառները, այլ </w:t>
      </w:r>
      <w:r w:rsidR="0047277D" w:rsidRPr="0047277D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ամբողջական կարգավորել</w:t>
      </w:r>
      <w:r w:rsidR="006D7F7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 ն</w:t>
      </w:r>
      <w:r w:rsidR="00390C8E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շ</w:t>
      </w:r>
      <w:r w:rsidR="006D7F7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ված հարաբերություններ</w:t>
      </w:r>
      <w:r w:rsidR="00390C8E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ը</w:t>
      </w:r>
      <w:r w:rsidR="006D7F7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՝ ստեղծելով 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Հայաստանի Հանրապետությունում պատիժը կրող օտարերկրացիների փոխանցումից հետո վերջիններ</w:t>
      </w:r>
      <w:r w:rsidR="00390C8E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ս մուտքը Հայաստան</w:t>
      </w:r>
      <w:r w:rsidR="006D7F7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 բացառելու օրինական հիմքեր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, ինչն իր հերթին կնպաստի հանցավորության աճի և կրկնահանցագործների թվի նվազեցմանը: </w:t>
      </w:r>
    </w:p>
    <w:p w:rsidR="0047277D" w:rsidRPr="0047277D" w:rsidRDefault="006D7F79" w:rsidP="00DC4FCB">
      <w:pPr>
        <w:pStyle w:val="ListParagraph"/>
        <w:shd w:val="clear" w:color="auto" w:fill="FFFFFF"/>
        <w:spacing w:after="360" w:line="360" w:lineRule="auto"/>
        <w:ind w:left="0" w:firstLine="720"/>
        <w:contextualSpacing w:val="0"/>
        <w:jc w:val="both"/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</w:pPr>
      <w:r w:rsidRPr="00DB63D5">
        <w:rPr>
          <w:rFonts w:ascii="GHEA Grapalat" w:hAnsi="GHEA Grapalat"/>
          <w:shadow/>
          <w:sz w:val="24"/>
          <w:szCs w:val="24"/>
          <w:lang w:val="hy-AM"/>
        </w:rPr>
        <w:t>«</w:t>
      </w:r>
      <w:r>
        <w:rPr>
          <w:rFonts w:ascii="GHEA Grapalat" w:hAnsi="GHEA Grapalat"/>
          <w:shadow/>
          <w:sz w:val="24"/>
          <w:szCs w:val="24"/>
          <w:lang w:val="hy-AM"/>
        </w:rPr>
        <w:t>Օտարերկրացիների մասին» Հայաստանի Հանրապետության օրենքում լրացումներ</w:t>
      </w:r>
      <w:r w:rsidR="003C187C">
        <w:rPr>
          <w:rFonts w:ascii="GHEA Grapalat" w:hAnsi="GHEA Grapalat"/>
          <w:shadow/>
          <w:sz w:val="24"/>
          <w:szCs w:val="24"/>
          <w:lang w:val="hy-AM"/>
        </w:rPr>
        <w:t xml:space="preserve"> և փոփոխություններ</w:t>
      </w:r>
      <w:r>
        <w:rPr>
          <w:rFonts w:ascii="GHEA Grapalat" w:hAnsi="GHEA Grapalat"/>
          <w:shadow/>
          <w:sz w:val="24"/>
          <w:szCs w:val="24"/>
          <w:lang w:val="hy-AM"/>
        </w:rPr>
        <w:t xml:space="preserve"> կատարելու մասին» </w:t>
      </w:r>
      <w:r w:rsidRPr="00DB63D5">
        <w:rPr>
          <w:rFonts w:ascii="GHEA Grapalat" w:hAnsi="GHEA Grapalat"/>
          <w:shadow/>
          <w:sz w:val="24"/>
          <w:szCs w:val="24"/>
          <w:lang w:val="hy-AM"/>
        </w:rPr>
        <w:t>Հայաստանի Հանրապետության օրենքի</w:t>
      </w:r>
      <w:r w:rsidRPr="0047277D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 ընդուն</w:t>
      </w:r>
      <w:r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ումը հնարավորություն կտա Հայստանի Հանրապետությա</w:t>
      </w:r>
      <w:r w:rsidR="00DC739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նը կասեցնել հանցավոր տարրերի մուտքը Հայաստանի Հանրապետություն՝ ստեղծելով արտաքսման առավել լ</w:t>
      </w:r>
      <w:r w:rsidR="0047277D" w:rsidRPr="0047277D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>իարժեք և գործուն մեխանիզմներ</w:t>
      </w:r>
      <w:r w:rsidR="00DC7399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: </w:t>
      </w:r>
      <w:r w:rsidR="0047277D" w:rsidRPr="0047277D">
        <w:rPr>
          <w:rFonts w:ascii="GHEA Grapalat" w:eastAsia="Times New Roman" w:hAnsi="GHEA Grapalat" w:cs="Arian AMU"/>
          <w:shadow/>
          <w:sz w:val="24"/>
          <w:szCs w:val="24"/>
          <w:lang w:val="hy-AM" w:eastAsia="ru-RU"/>
        </w:rPr>
        <w:t xml:space="preserve"> </w:t>
      </w:r>
    </w:p>
    <w:p w:rsidR="00DB63D5" w:rsidRDefault="00DB63D5" w:rsidP="00DC4FCB">
      <w:pPr>
        <w:ind w:firstLine="720"/>
        <w:rPr>
          <w:lang w:val="hy-AM"/>
        </w:rPr>
      </w:pPr>
    </w:p>
    <w:sectPr w:rsidR="00DB63D5" w:rsidSect="00FE07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B91" w:rsidRDefault="00E76B91" w:rsidP="005E34B8">
      <w:pPr>
        <w:spacing w:after="0" w:line="240" w:lineRule="auto"/>
      </w:pPr>
      <w:r>
        <w:separator/>
      </w:r>
    </w:p>
  </w:endnote>
  <w:endnote w:type="continuationSeparator" w:id="1">
    <w:p w:rsidR="00E76B91" w:rsidRDefault="00E76B91" w:rsidP="005E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B91" w:rsidRDefault="00E76B91" w:rsidP="005E34B8">
      <w:pPr>
        <w:spacing w:after="0" w:line="240" w:lineRule="auto"/>
      </w:pPr>
      <w:r>
        <w:separator/>
      </w:r>
    </w:p>
  </w:footnote>
  <w:footnote w:type="continuationSeparator" w:id="1">
    <w:p w:rsidR="00E76B91" w:rsidRDefault="00E76B91" w:rsidP="005E3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65F"/>
    <w:multiLevelType w:val="hybridMultilevel"/>
    <w:tmpl w:val="C3B4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4B8"/>
    <w:rsid w:val="000D5CD0"/>
    <w:rsid w:val="001F7F5B"/>
    <w:rsid w:val="002778C4"/>
    <w:rsid w:val="00291D12"/>
    <w:rsid w:val="002F04A0"/>
    <w:rsid w:val="0038574C"/>
    <w:rsid w:val="00390BFB"/>
    <w:rsid w:val="00390C8E"/>
    <w:rsid w:val="003C187C"/>
    <w:rsid w:val="0047277D"/>
    <w:rsid w:val="004D369B"/>
    <w:rsid w:val="00525968"/>
    <w:rsid w:val="005E34B8"/>
    <w:rsid w:val="0060678D"/>
    <w:rsid w:val="00617A0F"/>
    <w:rsid w:val="00672404"/>
    <w:rsid w:val="0069730C"/>
    <w:rsid w:val="006D7F79"/>
    <w:rsid w:val="0071521D"/>
    <w:rsid w:val="00792103"/>
    <w:rsid w:val="007D0427"/>
    <w:rsid w:val="00A61864"/>
    <w:rsid w:val="00AC2681"/>
    <w:rsid w:val="00B03ABD"/>
    <w:rsid w:val="00B80555"/>
    <w:rsid w:val="00BE2778"/>
    <w:rsid w:val="00BF4DA1"/>
    <w:rsid w:val="00C15737"/>
    <w:rsid w:val="00C75F66"/>
    <w:rsid w:val="00C95537"/>
    <w:rsid w:val="00CB2E4A"/>
    <w:rsid w:val="00DB63D5"/>
    <w:rsid w:val="00DC4FCB"/>
    <w:rsid w:val="00DC7399"/>
    <w:rsid w:val="00DD15FC"/>
    <w:rsid w:val="00E5065A"/>
    <w:rsid w:val="00E75C6D"/>
    <w:rsid w:val="00E76B91"/>
    <w:rsid w:val="00EB077E"/>
    <w:rsid w:val="00EB78C9"/>
    <w:rsid w:val="00FB616C"/>
    <w:rsid w:val="00FE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B8"/>
    <w:pPr>
      <w:ind w:left="720"/>
      <w:contextualSpacing/>
    </w:pPr>
  </w:style>
  <w:style w:type="paragraph" w:customStyle="1" w:styleId="Style22">
    <w:name w:val="Style22"/>
    <w:basedOn w:val="Normal"/>
    <w:uiPriority w:val="99"/>
    <w:semiHidden/>
    <w:rsid w:val="005E34B8"/>
    <w:pPr>
      <w:widowControl w:val="0"/>
      <w:autoSpaceDE w:val="0"/>
      <w:autoSpaceDN w:val="0"/>
      <w:adjustRightInd w:val="0"/>
      <w:spacing w:after="0" w:line="379" w:lineRule="exact"/>
      <w:ind w:hanging="466"/>
      <w:jc w:val="both"/>
    </w:pPr>
    <w:rPr>
      <w:rFonts w:ascii="Sylfaen" w:eastAsia="Times New Roman" w:hAnsi="Sylfae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4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4B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34B8"/>
    <w:rPr>
      <w:vertAlign w:val="superscript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03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B03A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B63D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C588-1589-48CA-9D38-EBE27BA9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Harutyunyan</dc:creator>
  <cp:keywords>http:/mul-moj.gov.am/tasks/docs/attachment.php?id=163639&amp;fn=Himnavorum.docx&amp;out=1&amp;token=</cp:keywords>
  <cp:lastModifiedBy>Arm-Harutyunyan</cp:lastModifiedBy>
  <cp:revision>3</cp:revision>
  <cp:lastPrinted>2018-08-16T14:55:00Z</cp:lastPrinted>
  <dcterms:created xsi:type="dcterms:W3CDTF">2019-03-13T07:53:00Z</dcterms:created>
  <dcterms:modified xsi:type="dcterms:W3CDTF">2019-05-13T08:14:00Z</dcterms:modified>
</cp:coreProperties>
</file>