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4B" w:rsidRDefault="0015384B" w:rsidP="0015384B">
      <w:pPr>
        <w:pStyle w:val="BodyText"/>
        <w:ind w:right="350"/>
        <w:rPr>
          <w:rFonts w:ascii="Sylfaen" w:hAnsi="Sylfaen" w:cs="Sylfaen"/>
          <w:spacing w:val="-6"/>
          <w:sz w:val="28"/>
          <w:szCs w:val="28"/>
        </w:rPr>
      </w:pPr>
      <w:r>
        <w:rPr>
          <w:rFonts w:ascii="Sylfaen" w:hAnsi="Sylfaen" w:cs="Sylfaen"/>
          <w:spacing w:val="-6"/>
          <w:sz w:val="28"/>
          <w:szCs w:val="28"/>
        </w:rPr>
        <w:t>Ա Մ Փ Ո Փ Ա Թ Ե Ր Թ</w:t>
      </w:r>
    </w:p>
    <w:p w:rsidR="0015384B" w:rsidRPr="003E67B1" w:rsidRDefault="0015384B" w:rsidP="0015384B">
      <w:pPr>
        <w:pStyle w:val="BodyText"/>
        <w:ind w:right="350"/>
        <w:jc w:val="both"/>
        <w:rPr>
          <w:rFonts w:ascii="Arial AMU" w:hAnsi="Arial AMU"/>
          <w:szCs w:val="26"/>
          <w:lang w:val="hy-AM"/>
        </w:rPr>
      </w:pPr>
      <w:r w:rsidRPr="003E67B1">
        <w:rPr>
          <w:rFonts w:ascii="Sylfaen" w:hAnsi="Sylfaen" w:cs="Sylfaen"/>
          <w:spacing w:val="-6"/>
          <w:szCs w:val="26"/>
        </w:rPr>
        <w:t>«Կատարված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հանցագործությունների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հետ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կապված</w:t>
      </w:r>
      <w:r w:rsidRPr="003E67B1">
        <w:rPr>
          <w:rFonts w:ascii="Sylfaen" w:hAnsi="Sylfaen" w:cs="Times Armenian"/>
          <w:spacing w:val="-6"/>
          <w:szCs w:val="26"/>
        </w:rPr>
        <w:t xml:space="preserve">`  </w:t>
      </w:r>
      <w:r w:rsidRPr="003E67B1">
        <w:rPr>
          <w:rFonts w:ascii="Sylfaen" w:hAnsi="Sylfaen" w:cs="Sylfaen"/>
          <w:spacing w:val="-6"/>
          <w:szCs w:val="26"/>
        </w:rPr>
        <w:t>համարակալված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իրերի</w:t>
      </w:r>
      <w:r w:rsidRPr="003E67B1">
        <w:rPr>
          <w:rFonts w:ascii="Sylfaen" w:hAnsi="Sylfaen" w:cs="Times Armenian"/>
          <w:spacing w:val="-6"/>
          <w:szCs w:val="26"/>
        </w:rPr>
        <w:t xml:space="preserve">, </w:t>
      </w:r>
      <w:r w:rsidRPr="003E67B1">
        <w:rPr>
          <w:rFonts w:ascii="Sylfaen" w:hAnsi="Sylfaen" w:cs="Sylfaen"/>
          <w:spacing w:val="-6"/>
          <w:szCs w:val="26"/>
        </w:rPr>
        <w:t>փաստաթղթերի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և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արժեթղթերի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կենտրոնացված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հաշվառման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կարգը</w:t>
      </w:r>
      <w:r w:rsidRPr="003E67B1">
        <w:rPr>
          <w:rFonts w:ascii="Sylfaen" w:hAnsi="Sylfaen" w:cs="Times Armenian"/>
          <w:spacing w:val="-6"/>
          <w:szCs w:val="26"/>
        </w:rPr>
        <w:t xml:space="preserve">  </w:t>
      </w:r>
      <w:r w:rsidRPr="003E67B1">
        <w:rPr>
          <w:rFonts w:ascii="Sylfaen" w:hAnsi="Sylfaen" w:cs="Sylfaen"/>
          <w:spacing w:val="-6"/>
          <w:szCs w:val="26"/>
        </w:rPr>
        <w:t>հաստատելու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 xml:space="preserve">մասին» </w:t>
      </w:r>
      <w:r w:rsidRPr="003E67B1">
        <w:rPr>
          <w:rFonts w:ascii="Sylfaen" w:hAnsi="Sylfaen"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Հայաստանի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Հանրապետության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կառավարության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որոշման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նախագծի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վերաբերյալ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ՀՀ կառավարության աշխատակազմի պետաիրավական վարչության եզրակացության</w:t>
      </w:r>
      <w:r w:rsidRPr="003E67B1">
        <w:rPr>
          <w:rFonts w:cs="Times Armenian"/>
          <w:spacing w:val="-6"/>
          <w:szCs w:val="26"/>
        </w:rPr>
        <w:t xml:space="preserve"> </w:t>
      </w:r>
      <w:r w:rsidRPr="003E67B1">
        <w:rPr>
          <w:rFonts w:ascii="Sylfaen" w:hAnsi="Sylfaen" w:cs="Sylfaen"/>
          <w:spacing w:val="-6"/>
          <w:szCs w:val="26"/>
        </w:rPr>
        <w:t>մասին</w:t>
      </w:r>
    </w:p>
    <w:p w:rsidR="0015384B" w:rsidRPr="00733639" w:rsidRDefault="0015384B" w:rsidP="0015384B">
      <w:pPr>
        <w:jc w:val="both"/>
        <w:rPr>
          <w:b/>
          <w:i/>
          <w:sz w:val="26"/>
          <w:lang w:val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7"/>
        <w:gridCol w:w="7355"/>
      </w:tblGrid>
      <w:tr w:rsidR="0015384B" w:rsidTr="00D0452B">
        <w:tblPrEx>
          <w:tblCellMar>
            <w:top w:w="0" w:type="dxa"/>
            <w:bottom w:w="0" w:type="dxa"/>
          </w:tblCellMar>
        </w:tblPrEx>
        <w:tc>
          <w:tcPr>
            <w:tcW w:w="7387" w:type="dxa"/>
          </w:tcPr>
          <w:p w:rsidR="0015384B" w:rsidRPr="00745F6D" w:rsidRDefault="0015384B" w:rsidP="00D0452B">
            <w:pPr>
              <w:jc w:val="center"/>
              <w:rPr>
                <w:b/>
                <w:i/>
                <w:lang w:val="en-US"/>
              </w:rPr>
            </w:pPr>
            <w:r>
              <w:rPr>
                <w:rFonts w:ascii="Sylfaen" w:hAnsi="Sylfaen" w:cs="Sylfaen"/>
                <w:b/>
                <w:i/>
                <w:lang w:val="en-US"/>
              </w:rPr>
              <w:t>Եզրակացության</w:t>
            </w:r>
            <w:r w:rsidRPr="00C54BDC">
              <w:rPr>
                <w:rFonts w:cs="Times Armenian"/>
                <w:b/>
                <w:i/>
                <w:lang w:val="en-US"/>
              </w:rPr>
              <w:t xml:space="preserve"> </w:t>
            </w:r>
            <w:r w:rsidRPr="00C54BDC">
              <w:rPr>
                <w:rFonts w:ascii="Sylfaen" w:hAnsi="Sylfaen" w:cs="Sylfaen"/>
                <w:b/>
                <w:i/>
                <w:lang w:val="en-US"/>
              </w:rPr>
              <w:t>բովանդակությունը</w:t>
            </w:r>
          </w:p>
        </w:tc>
        <w:tc>
          <w:tcPr>
            <w:tcW w:w="7355" w:type="dxa"/>
          </w:tcPr>
          <w:p w:rsidR="0015384B" w:rsidRDefault="0015384B" w:rsidP="00D0452B">
            <w:pPr>
              <w:rPr>
                <w:rFonts w:ascii="Sylfaen" w:hAnsi="Sylfaen" w:cs="Sylfaen"/>
                <w:b/>
                <w:i/>
                <w:lang w:val="en-US"/>
              </w:rPr>
            </w:pPr>
            <w:r>
              <w:rPr>
                <w:rFonts w:ascii="Sylfaen" w:hAnsi="Sylfaen" w:cs="Sylfaen"/>
                <w:b/>
                <w:i/>
                <w:lang w:val="en-US"/>
              </w:rPr>
              <w:t xml:space="preserve">                      Արդյունքները</w:t>
            </w:r>
          </w:p>
          <w:p w:rsidR="0015384B" w:rsidRPr="00321332" w:rsidRDefault="0015384B" w:rsidP="00D0452B">
            <w:pPr>
              <w:rPr>
                <w:b/>
                <w:i/>
                <w:lang w:val="en-US"/>
              </w:rPr>
            </w:pPr>
          </w:p>
        </w:tc>
      </w:tr>
      <w:tr w:rsidR="0015384B" w:rsidRPr="0015384B" w:rsidTr="00D0452B">
        <w:tblPrEx>
          <w:tblCellMar>
            <w:top w:w="0" w:type="dxa"/>
            <w:bottom w:w="0" w:type="dxa"/>
          </w:tblCellMar>
        </w:tblPrEx>
        <w:tc>
          <w:tcPr>
            <w:tcW w:w="7387" w:type="dxa"/>
          </w:tcPr>
          <w:p w:rsidR="0015384B" w:rsidRPr="003E67B1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1. 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  <w:lang w:val="en-US"/>
              </w:rPr>
              <w:t>Կարգի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2-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րդ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կետի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1-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ենթակետում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որպես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կատարված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հանցագործությունների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կապված՝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հաշվառման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ենթակա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համարակալված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փաստաթուղթ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արժեթուղթ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/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այսուհետ՝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/,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մեր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կարծիքով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անհրաժեշտ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ներառել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պատկանելիությունը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հայտնի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իրերր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որոնք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քրեական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գործով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որպես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իրեղեն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ապացույց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ճանաչվել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։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հանգամանքը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կարծում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ենք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ավելի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կպարզեցնի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դրանց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վերաբերյալ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տեղեկությունը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թվում՝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քրեական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գործով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վարույթից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հետո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և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զերծ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կպահի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հետագա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անհարթություններից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/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այդպիսի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իրերի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կորստի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վնասման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սեփականանության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կապված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վեճերի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և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իրավիճակներում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սահմանված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կարգով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ոստիկանության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Ինֆորմացիոն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կենտրոնում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դրանց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վերաբերյալ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տեղեկությունների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առկայությունը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մեծապես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կնպաստի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ստեղծված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իրավիճակի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հաղթահարմանը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/:</w:t>
            </w:r>
          </w:p>
          <w:p w:rsidR="0015384B" w:rsidRPr="003E67B1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</w:pPr>
          </w:p>
          <w:p w:rsidR="0015384B" w:rsidRPr="0015384B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</w:pPr>
          </w:p>
          <w:p w:rsidR="0015384B" w:rsidRPr="0015384B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noProof/>
                <w:color w:val="000000"/>
                <w:sz w:val="25"/>
                <w:szCs w:val="25"/>
              </w:rPr>
            </w:pP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>. 6-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րդ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կետում՝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«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պատկանելիությունը</w:t>
            </w:r>
            <w:r w:rsidRPr="0015384B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»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բառից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հետո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անհրաժեշտ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ավելացնել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«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դրանց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սեփականատեր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կամ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օրինական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տիրապետող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հանդիսացող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»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բառերը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։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</w:p>
          <w:p w:rsidR="0015384B" w:rsidRPr="0015384B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</w:pPr>
          </w:p>
          <w:p w:rsidR="0015384B" w:rsidRPr="003E67B1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lastRenderedPageBreak/>
              <w:t>գ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.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Լրացուցիչ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պարզաբանման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կարիք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ունի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հափշտակված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ինչպես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իրեղեն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ապացույց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ճանաչված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համարակալված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իրերի՝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հաշվառումից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հինգ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տարի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հետո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հանելու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նպատակահարմարությունը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դեպքում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երբ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քրեական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գործով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վերջնական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որոշում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արդեն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կայացվել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։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Մեր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կարծիքով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հանգամանքը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կարող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մեծապես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խոչրնդոտել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նշված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իրերի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քաղաքացիաիրավական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բնականոն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շրջանառունակությանը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մասնավորապես՝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օտարմանը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։</w:t>
            </w:r>
          </w:p>
          <w:p w:rsidR="0015384B" w:rsidRPr="003E67B1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noProof/>
                <w:color w:val="000000"/>
                <w:sz w:val="25"/>
                <w:szCs w:val="25"/>
              </w:rPr>
            </w:pP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. Հ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այտնի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ցանկացած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քրեական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գործի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վարույթով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վերջնակետ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կարող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հանդիսանալ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ինչպես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քրեական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հետապնդման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մարմնի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որոշումը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այնպես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էլ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համապատասխան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դատական ակտը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։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Այս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առումով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առաջարկում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ենք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Կարգի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12-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րդ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կետի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2-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րդ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ենթակետում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, 13-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րդ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և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14-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րդ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կետերում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«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որոշում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»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բառից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հետո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ավելացնել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«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կամ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դաաական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ակտ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»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բառերը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։  </w:t>
            </w:r>
          </w:p>
          <w:p w:rsidR="0015384B" w:rsidRPr="0015384B" w:rsidRDefault="0015384B" w:rsidP="00D0452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.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Համակարծիք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ենք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iCs/>
                <w:noProof/>
                <w:color w:val="000000"/>
                <w:sz w:val="25"/>
                <w:szCs w:val="25"/>
              </w:rPr>
              <w:t>ՀՀ</w:t>
            </w:r>
            <w:r w:rsidRPr="0015384B">
              <w:rPr>
                <w:rFonts w:ascii="Sylfaen" w:hAnsi="Sylfaen"/>
                <w:iCs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դատական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դեպարտամենտի՝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ամփոփաթերթում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նշված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առարկությանը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ելնելով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որից՝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առաջարկում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ենք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Կարգում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համապատասխան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բացառություն</w:t>
            </w:r>
            <w:r w:rsidRPr="0015384B">
              <w:rPr>
                <w:rFonts w:ascii="Sylfaen" w:hAnsi="Sylfaen"/>
                <w:noProof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noProof/>
                <w:color w:val="000000"/>
                <w:sz w:val="25"/>
                <w:szCs w:val="25"/>
              </w:rPr>
              <w:t>նախատեսել</w:t>
            </w:r>
            <w:r w:rsidRPr="003E67B1">
              <w:rPr>
                <w:rFonts w:ascii="Sylfaen" w:hAnsi="Sylfaen"/>
                <w:noProof/>
                <w:color w:val="000000"/>
                <w:sz w:val="25"/>
                <w:szCs w:val="25"/>
              </w:rPr>
              <w:t>։</w:t>
            </w:r>
          </w:p>
          <w:p w:rsidR="0015384B" w:rsidRPr="0015384B" w:rsidRDefault="0015384B" w:rsidP="00D0452B">
            <w:pPr>
              <w:jc w:val="both"/>
            </w:pPr>
          </w:p>
        </w:tc>
        <w:tc>
          <w:tcPr>
            <w:tcW w:w="7355" w:type="dxa"/>
          </w:tcPr>
          <w:p w:rsidR="0015384B" w:rsidRPr="0015384B" w:rsidRDefault="0015384B" w:rsidP="00D0452B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5"/>
                <w:szCs w:val="25"/>
              </w:rPr>
            </w:pPr>
            <w:r w:rsidRPr="0015384B">
              <w:rPr>
                <w:sz w:val="25"/>
                <w:szCs w:val="25"/>
              </w:rPr>
              <w:lastRenderedPageBreak/>
              <w:t xml:space="preserve">1.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վերաբերյալ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հայտնում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ենք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որ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քրեական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գործով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իրեղեն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ապացույց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ճանաչված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և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պատկանելիությունը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պարզված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իրերը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սույն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որոշմամբ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հաշվառելու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անհրաժեշտություն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չկա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քանի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որ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ներկայումս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հաշվառվում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են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միայն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հափշտակված</w:t>
            </w:r>
            <w:r w:rsidRPr="0015384B">
              <w:rPr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հանցագործության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հետևանքով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կորած</w:t>
            </w:r>
            <w:r w:rsidRPr="0015384B">
              <w:rPr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քրեական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գործով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վարույթի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ընթացքում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հայտնաբերված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և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պատկանելիությունը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չպարզված</w:t>
            </w:r>
            <w:r w:rsidRPr="0015384B">
              <w:rPr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քրեական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գործի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վարույթով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իրեղեն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ապացույց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ճանաչված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և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պատկանելիությունը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չպարզված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համարակալված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իրեր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ը</w:t>
            </w:r>
            <w:r w:rsidRPr="0015384B">
              <w:rPr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փաստաթղթեր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ը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և</w:t>
            </w:r>
            <w:r w:rsidRPr="0015384B">
              <w:rPr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</w:rPr>
              <w:t>արժեթղթեր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ը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ինչը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նպատակ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ունի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օժանդակելու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քրեական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հետապնդման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մարմիններին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հափշտակված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և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կորած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գույքի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հետախուզման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և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հայտնաբերման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աշխատանքներում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ինչպես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նաև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հայտնաբերված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կամ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իրեղեն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ապացույց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ճանաչված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և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պատկանելիությունը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չպարզված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իրերի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պատկանելիության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պարզման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նպատակով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`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դրանց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վերաբերյալ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տեղեկատվությունը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կենտրոնացնելու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 w:cs="Sylfaen"/>
                <w:color w:val="000000"/>
                <w:sz w:val="25"/>
                <w:szCs w:val="25"/>
                <w:lang w:val="en-US"/>
              </w:rPr>
              <w:t>միջոցով</w:t>
            </w:r>
            <w:r w:rsidRPr="0015384B">
              <w:rPr>
                <w:rFonts w:ascii="Sylfaen" w:hAnsi="Sylfaen" w:cs="Sylfaen"/>
                <w:color w:val="000000"/>
                <w:sz w:val="25"/>
                <w:szCs w:val="25"/>
              </w:rPr>
              <w:t xml:space="preserve">: </w:t>
            </w: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բ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.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Առաջարկությունն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ընդունվել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15384B">
              <w:rPr>
                <w:rFonts w:ascii="Sylfaen" w:hAnsi="Sylfaen"/>
                <w:sz w:val="25"/>
                <w:szCs w:val="25"/>
              </w:rPr>
              <w:t>:</w:t>
            </w:r>
          </w:p>
          <w:p w:rsidR="0015384B" w:rsidRPr="0015384B" w:rsidRDefault="0015384B" w:rsidP="00D0452B">
            <w:pPr>
              <w:rPr>
                <w:b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b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b/>
                <w:sz w:val="25"/>
                <w:szCs w:val="25"/>
              </w:rPr>
            </w:pPr>
          </w:p>
          <w:p w:rsidR="0015384B" w:rsidRDefault="0015384B" w:rsidP="00D0452B">
            <w:pPr>
              <w:rPr>
                <w:b/>
                <w:sz w:val="25"/>
                <w:szCs w:val="25"/>
                <w:lang w:val="en-US"/>
              </w:rPr>
            </w:pPr>
          </w:p>
          <w:p w:rsidR="0015384B" w:rsidRPr="0015384B" w:rsidRDefault="0015384B" w:rsidP="00D0452B">
            <w:pPr>
              <w:rPr>
                <w:b/>
                <w:sz w:val="25"/>
                <w:szCs w:val="25"/>
                <w:lang w:val="en-US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lastRenderedPageBreak/>
              <w:t>գ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.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հիման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վրա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Նախագիծը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լրամշակվել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15384B">
              <w:rPr>
                <w:rFonts w:ascii="Sylfaen" w:hAnsi="Sylfaen"/>
                <w:sz w:val="25"/>
                <w:szCs w:val="25"/>
              </w:rPr>
              <w:t>:</w:t>
            </w: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spacing w:line="276" w:lineRule="auto"/>
              <w:jc w:val="both"/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դ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.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ա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հետ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կապված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հայտնում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ենք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որ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Նախագիծը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լրամշակվել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և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կարգի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12-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րդ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կետի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2-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րդ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ենթակետը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հանվել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ինչի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հետ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կապված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լրամշակվել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են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նաև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13-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րդ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և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14-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րդ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կետերը</w:t>
            </w:r>
            <w:r w:rsidRPr="0015384B">
              <w:rPr>
                <w:rFonts w:ascii="Sylfaen" w:hAnsi="Sylfaen"/>
                <w:sz w:val="25"/>
                <w:szCs w:val="25"/>
              </w:rPr>
              <w:t>:</w:t>
            </w:r>
          </w:p>
          <w:p w:rsidR="0015384B" w:rsidRPr="0015384B" w:rsidRDefault="0015384B" w:rsidP="00D0452B">
            <w:pPr>
              <w:spacing w:line="276" w:lineRule="auto"/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jc w:val="both"/>
              <w:rPr>
                <w:rFonts w:ascii="Sylfaen" w:hAnsi="Sylfaen"/>
                <w:sz w:val="25"/>
                <w:szCs w:val="25"/>
              </w:rPr>
            </w:pPr>
          </w:p>
          <w:p w:rsidR="0015384B" w:rsidRPr="0015384B" w:rsidRDefault="0015384B" w:rsidP="00D0452B">
            <w:pPr>
              <w:spacing w:line="276" w:lineRule="auto"/>
              <w:jc w:val="both"/>
              <w:rPr>
                <w:rFonts w:ascii="Sylfaen" w:hAnsi="Sylfaen"/>
                <w:sz w:val="26"/>
                <w:szCs w:val="26"/>
              </w:rPr>
            </w:pP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ե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.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վերաբերյալ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հայտնում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ենք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որ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ՀՀ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դատական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դեպարտամենտի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`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ամփոփաթերթում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ներկայացված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առաջարկություններ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ՀՀ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ոստիկանության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կողմից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չեն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մերժվել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մասնավորապես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«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քրեական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վարույթն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իրականացնող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մարմին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»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հասկացությունը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փոխարին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վ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ել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«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քրեական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հետապնդման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մարմին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»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հասկացությամբ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,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որի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մեջ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դատարանը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չի</w:t>
            </w:r>
            <w:r w:rsidRPr="0015384B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մտնում</w:t>
            </w:r>
            <w:r w:rsidRPr="0015384B">
              <w:rPr>
                <w:rFonts w:ascii="Sylfaen" w:hAnsi="Sylfaen"/>
                <w:sz w:val="25"/>
                <w:szCs w:val="25"/>
              </w:rPr>
              <w:t>:</w:t>
            </w:r>
          </w:p>
        </w:tc>
      </w:tr>
    </w:tbl>
    <w:p w:rsidR="0015384B" w:rsidRDefault="0015384B" w:rsidP="0015384B">
      <w:pPr>
        <w:pStyle w:val="BodyText"/>
        <w:ind w:right="350"/>
        <w:jc w:val="both"/>
        <w:rPr>
          <w:rFonts w:ascii="Sylfaen" w:hAnsi="Sylfaen" w:cs="Sylfaen"/>
          <w:noProof/>
          <w:color w:val="000000"/>
          <w:szCs w:val="26"/>
          <w:lang w:val="af-ZA"/>
        </w:rPr>
      </w:pPr>
      <w:r w:rsidRPr="0015384B">
        <w:rPr>
          <w:rFonts w:ascii="Sylfaen" w:hAnsi="Sylfaen" w:cs="Sylfaen"/>
          <w:spacing w:val="-6"/>
          <w:sz w:val="24"/>
          <w:szCs w:val="24"/>
          <w:lang w:val="ru-RU"/>
        </w:rPr>
        <w:lastRenderedPageBreak/>
        <w:t xml:space="preserve">      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 xml:space="preserve">                                                </w:t>
      </w:r>
    </w:p>
    <w:p w:rsidR="0015384B" w:rsidRDefault="0015384B" w:rsidP="0015384B">
      <w:pPr>
        <w:pStyle w:val="BodyText"/>
        <w:ind w:right="350"/>
        <w:jc w:val="both"/>
        <w:rPr>
          <w:rFonts w:ascii="Sylfaen" w:hAnsi="Sylfaen" w:cs="Sylfaen"/>
          <w:noProof/>
          <w:color w:val="000000"/>
          <w:szCs w:val="26"/>
          <w:lang w:val="af-ZA"/>
        </w:rPr>
      </w:pPr>
      <w:r>
        <w:rPr>
          <w:rFonts w:ascii="Sylfaen" w:hAnsi="Sylfaen" w:cs="Sylfaen"/>
          <w:noProof/>
          <w:color w:val="000000"/>
          <w:szCs w:val="26"/>
          <w:lang w:val="af-ZA"/>
        </w:rPr>
        <w:t xml:space="preserve">                                                                           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 xml:space="preserve">  ՀՀ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ո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ս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տ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ի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կ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ա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ն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ո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ւ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թ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յ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ո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ւ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ն</w:t>
      </w:r>
    </w:p>
    <w:p w:rsidR="00FD0C65" w:rsidRPr="0015384B" w:rsidRDefault="00FD0C65">
      <w:pPr>
        <w:rPr>
          <w:lang w:val="af-ZA"/>
        </w:rPr>
      </w:pPr>
    </w:p>
    <w:sectPr w:rsidR="00FD0C65" w:rsidRPr="0015384B" w:rsidSect="0015384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84B"/>
    <w:rsid w:val="0015384B"/>
    <w:rsid w:val="00FD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B"/>
    <w:pPr>
      <w:spacing w:after="0" w:line="240" w:lineRule="auto"/>
    </w:pPr>
    <w:rPr>
      <w:rFonts w:ascii="Times Armenian" w:eastAsia="Times New Roman" w:hAnsi="Times Armenian" w:cs="Times New Roman"/>
      <w:spacing w:val="-6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384B"/>
    <w:pPr>
      <w:jc w:val="center"/>
    </w:pPr>
    <w:rPr>
      <w:b/>
      <w:i/>
      <w:spacing w:val="0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5384B"/>
    <w:rPr>
      <w:rFonts w:ascii="Times Armenian" w:eastAsia="Times New Roman" w:hAnsi="Times Armenian" w:cs="Times New Roman"/>
      <w:b/>
      <w:i/>
      <w:sz w:val="2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Company>IAV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1</cp:revision>
  <dcterms:created xsi:type="dcterms:W3CDTF">2010-08-12T09:40:00Z</dcterms:created>
  <dcterms:modified xsi:type="dcterms:W3CDTF">2010-08-12T09:41:00Z</dcterms:modified>
</cp:coreProperties>
</file>