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0C" w:rsidRDefault="00DF27DE">
      <w:pPr>
        <w:pStyle w:val="headingtitleStyle"/>
      </w:pPr>
      <w:bookmarkStart w:id="0" w:name="_Toc1"/>
      <w:bookmarkStart w:id="1" w:name="_GoBack"/>
      <w:bookmarkEnd w:id="1"/>
      <w:r>
        <w:t>Ամփոփաթերթ</w:t>
      </w:r>
      <w:bookmarkEnd w:id="0"/>
    </w:p>
    <w:p w:rsidR="00E8020C" w:rsidRDefault="00DF27DE">
      <w:pPr>
        <w:pStyle w:val="headingtitleStyle"/>
      </w:pPr>
      <w:bookmarkStart w:id="2" w:name="_Toc2"/>
      <w:r>
        <w:t>«</w:t>
      </w:r>
      <w:r>
        <w:t>Թարգմանչի</w:t>
      </w:r>
      <w:r>
        <w:t xml:space="preserve"> </w:t>
      </w:r>
      <w:r>
        <w:t>որակավորման</w:t>
      </w:r>
      <w:r>
        <w:t xml:space="preserve"> </w:t>
      </w:r>
      <w:r>
        <w:t>կարգը</w:t>
      </w:r>
      <w:r>
        <w:t xml:space="preserve"> </w:t>
      </w:r>
      <w:r>
        <w:t>սահմանելու</w:t>
      </w:r>
      <w:r>
        <w:t xml:space="preserve"> </w:t>
      </w:r>
      <w:r>
        <w:t>մասին</w:t>
      </w:r>
      <w:r>
        <w:t xml:space="preserve">» </w:t>
      </w:r>
      <w:r>
        <w:t>և</w:t>
      </w:r>
      <w:r>
        <w:t xml:space="preserve"> «</w:t>
      </w:r>
      <w:r>
        <w:t>Պետական</w:t>
      </w:r>
      <w:r>
        <w:t xml:space="preserve"> </w:t>
      </w:r>
      <w:r>
        <w:t>միջոցների</w:t>
      </w:r>
      <w:r>
        <w:t xml:space="preserve"> </w:t>
      </w:r>
      <w:r>
        <w:t>հաշվին</w:t>
      </w:r>
      <w:r>
        <w:t xml:space="preserve"> </w:t>
      </w:r>
      <w:r>
        <w:t>թարգմանչի</w:t>
      </w:r>
      <w:r>
        <w:t xml:space="preserve">, </w:t>
      </w:r>
      <w:r>
        <w:t>սուրդոթարգմանչի</w:t>
      </w:r>
      <w:r>
        <w:t xml:space="preserve"> </w:t>
      </w:r>
      <w:r>
        <w:t>և</w:t>
      </w:r>
      <w:r>
        <w:t xml:space="preserve"> </w:t>
      </w:r>
      <w:r>
        <w:t>տեսողական</w:t>
      </w:r>
      <w:r>
        <w:t xml:space="preserve"> </w:t>
      </w:r>
      <w:r>
        <w:t>սահմանափակումների</w:t>
      </w:r>
      <w:r>
        <w:t xml:space="preserve"> </w:t>
      </w:r>
      <w:r>
        <w:t>պատճառով</w:t>
      </w:r>
      <w:r>
        <w:t xml:space="preserve"> </w:t>
      </w:r>
      <w:r>
        <w:t>հաշմանդամություն</w:t>
      </w:r>
      <w:r>
        <w:t xml:space="preserve"> </w:t>
      </w:r>
      <w:r>
        <w:t>ունեցող</w:t>
      </w:r>
      <w:r>
        <w:t xml:space="preserve"> </w:t>
      </w:r>
      <w:r>
        <w:t>անձի</w:t>
      </w:r>
      <w:r>
        <w:t xml:space="preserve"> </w:t>
      </w:r>
      <w:r>
        <w:t>օգնականի</w:t>
      </w:r>
      <w:r>
        <w:t xml:space="preserve"> </w:t>
      </w:r>
      <w:r>
        <w:t>ծառայություններ</w:t>
      </w:r>
      <w:r>
        <w:t xml:space="preserve"> </w:t>
      </w:r>
      <w:r>
        <w:t>մատուցող</w:t>
      </w:r>
      <w:r>
        <w:t xml:space="preserve"> </w:t>
      </w:r>
      <w:r>
        <w:t>անձին</w:t>
      </w:r>
      <w:r>
        <w:t xml:space="preserve"> </w:t>
      </w:r>
      <w:r>
        <w:t>նշանակելու</w:t>
      </w:r>
      <w:r>
        <w:t xml:space="preserve"> </w:t>
      </w:r>
      <w:r>
        <w:t>կարգը</w:t>
      </w:r>
      <w:r>
        <w:t xml:space="preserve">, </w:t>
      </w:r>
      <w:r>
        <w:t>նրա</w:t>
      </w:r>
      <w:r>
        <w:t xml:space="preserve"> </w:t>
      </w:r>
      <w:r>
        <w:t>վարձատրության</w:t>
      </w:r>
      <w:r>
        <w:t xml:space="preserve"> </w:t>
      </w:r>
      <w:r>
        <w:t>չափը</w:t>
      </w:r>
      <w:r>
        <w:t xml:space="preserve"> </w:t>
      </w:r>
      <w:r>
        <w:t>և</w:t>
      </w:r>
      <w:r>
        <w:t xml:space="preserve"> </w:t>
      </w:r>
      <w:r>
        <w:t>կարգը</w:t>
      </w:r>
      <w:r>
        <w:t xml:space="preserve"> </w:t>
      </w:r>
      <w:r>
        <w:t>սահմանելու</w:t>
      </w:r>
      <w:r>
        <w:t xml:space="preserve"> </w:t>
      </w:r>
      <w:r>
        <w:t>մասին</w:t>
      </w:r>
      <w:r>
        <w:t xml:space="preserve">» </w:t>
      </w:r>
      <w:r>
        <w:t>նախագծի</w:t>
      </w:r>
      <w:r>
        <w:t xml:space="preserve"> </w:t>
      </w:r>
      <w:r>
        <w:t>վերաբերյալ</w:t>
      </w:r>
      <w:bookmarkEnd w:id="2"/>
    </w:p>
    <w:p w:rsidR="00E8020C" w:rsidRDefault="00E8020C"/>
    <w:p w:rsidR="00E8020C" w:rsidRDefault="00E8020C"/>
    <w:p w:rsidR="00E8020C" w:rsidRDefault="00E8020C"/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2200"/>
        <w:gridCol w:w="4769"/>
        <w:gridCol w:w="3387"/>
        <w:gridCol w:w="3097"/>
      </w:tblGrid>
      <w:tr w:rsidR="00E8020C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</w:p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</w:p>
        </w:tc>
      </w:tr>
      <w:tr w:rsidR="00E8020C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8020C" w:rsidRDefault="00E8020C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E8020C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Դիսըբիլիթի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ինֆո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</w:p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13.08.2018 11:59:42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Վերանայել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համապատասխանեցնելով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ժեստերի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լեզվի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թարգմանիչների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որակավորման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առանձնահատկություններին։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հստակեցնել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փորձագետի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գնահատմանը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անանունությունն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Օրենսդրությամբ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ժեստերի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լեզվով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թարգմանիչների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որակավորման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պահանջ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  <w:tr w:rsidR="00E8020C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Դիսըբիլիթի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ինֆո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</w:p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13.08.2018 11:59:42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Տեսողական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սահմանափակումների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հաշմանդամություն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փոխարինել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Տեսողության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խնդիրներ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հաշմանդամություն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բառերով՝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ձևակերպումն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օգտագործվել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Հաշմանդամություն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սոցիալական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ներառման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առաջիկայում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հաշմանդամություն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անձնական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օգնականների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(personal assistant)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ծառայությունների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ոլորտում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համատեքս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օգնականի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գործառույթը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աուդիոնկարագրություն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ապահովելն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խուսափել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կրկնությունից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օգնականի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մատուցող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համատեքստում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գործածել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աուդիոնկարագրողի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մատուցող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բառերը։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սուրդոթարգմանչի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տեսողական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սահմանափակումների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հաշմանդամություն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օգնականի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մատուցող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նշանակելու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վարձատրության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դրույթներն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9-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,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36-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16-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Քրեական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15-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9-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9-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տալիս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ենթաօրենսդրական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ատիվ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հասկացությունը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լիազորված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Ուստի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ամապատասխանի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կոչված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օրենքներով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իրավահարաբերություններ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մանրամասները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կարևորությունն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բնու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յթը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դուրս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մնացել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առարկայի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շրջանակներից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միտված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օրենքներով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ընթացակարգային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մեխանիզմներ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Ուստի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ենթաօրենսդրական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օրենքներում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չգտած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մանրամասները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իրավահարաբերությունները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նորմատիվ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գտած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հասկացությունները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այտել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միևնույն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խուսափելու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տարընթերցումներից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տարատեսակ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ընկալումներից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հանդիսացած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օգտագործում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հասկացությունները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լսողական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խոսակ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ցական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սահմանափակումների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հաշմանդամություն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սուրդոթարգմանչի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տեսողական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սահմանափակումների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հաշմանդամություն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օգնականի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եզրույթներն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օգտագործվում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վերոն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մյուս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օրենքներում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  <w:tr w:rsidR="00E8020C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Դիսըբիլիթի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ինֆո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</w:p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13.08.2018 11:59:42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Սուրդոթարգմանիչ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փոխարինել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ժեստերի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լեզվի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թարգմանիչ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,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հայերեն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ժեստերի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լեզվի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թարգմանիչ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բառերով։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Surdo (surdus)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նշանակում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խուլ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սուրդոթարգմանիչը՝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խուլի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թարգմանիչ։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անընդունելի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նույնքան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որքան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ռուսերենի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ռուսի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թարգմանիչ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արտահայատության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կիրառումը։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3:</w:t>
            </w:r>
          </w:p>
        </w:tc>
      </w:tr>
      <w:tr w:rsidR="00E8020C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Ռուզաննա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Ազրոյան</w:t>
            </w:r>
          </w:p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30.07.2018 13:57:50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որակավորման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մասին՛՛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այսուհետ՝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Նախագիծ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/,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հայտնում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հետևյալը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 1.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նախաբանում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հղում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46-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քրեական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15-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քաղաքացիական</w:t>
            </w:r>
            <w:proofErr w:type="gram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քրեական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պահանջվում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որակավորում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վերացական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…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թարգմանիչ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սուրդոթարգմանիչ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նշանակելու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…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արտահայտությունը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տրամաբանությամբ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հղում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9-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9-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հակառակ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Նախագիծը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հակասության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կմտնի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ուրդոթարգմանչի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տեսողական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սահմանափակումների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հաշմանդամություն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օգնականի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ծառայություններ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մատուցող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նշանակելու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վարձատրության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մասին՛՛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մասնավորապես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հաստատ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2.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հաստատվող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այսուհետ՝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 8-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պարտադիր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առնվազն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տարեկան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անգամ՝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հրամանով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ժամակետը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բավականին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գործնականում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խոչընդոտներ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առաջացնե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X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քանակությամբ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20/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առկայության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պարտավորվում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անմիջապես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ձեռնամուխ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կազմակերպմանը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հակառակ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անձինք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սպասել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կազմակերպմանը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3.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16-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Հանրապետությունում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որոշակի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լեզվից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փորձագետի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բացակայության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տվյալ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դիմողին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հանձնաժողովի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տեղեկանք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դիմողի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լեզվին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տիրապետելու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փաստաթղթերը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հստակեցնել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որակավորումը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հավաստող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վերջնական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փաստաթուղթ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/,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տրամադրվելու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որակավորման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վկայակա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4.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Փորձագետների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դիմաց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դիմողները՝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յուրաքանչյուրն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10000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5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դիմողը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հավաստող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փաստաթղթերը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հստակեցնել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որտեղ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հետագայում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հասցեատիրոջը՝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/,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գանձապետական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աշիվը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բացառապես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տուրքերի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5.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անցկացմանը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հաջորդող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տասն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օրվա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Իրավակիրառ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պրտակտիկան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ուղղությամբ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հնարավորինս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կրճատվեն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ուգում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դատավորների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թեկնածությունների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ցուցակի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համալրման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փաստաբանական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դպրոցի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ընդունելություն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ունենալով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նվազագույնի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չարաշահումները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միջամտությունները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կոռուպցիոն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ռիսկերը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իմացության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թվարկածները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հնարավորինս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նվազագույնի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6.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դիմողը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էլեկտրոնային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հասցեով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իրազեկվում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ուշ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օրվան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հաջորդող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երեք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օրվա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խնդրիրն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ստանալուց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անելիքներ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չունի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դիմումատուին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րդյունքների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երեք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՛՛դեպոնացնելը՛՛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բխում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դիմումատուի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թափանցիկ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քաղաքականության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սկզբունքներից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ազդելու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7.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42-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Իրավասու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միջնորդու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վկայականի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դադարեցվում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հանձնաժողովի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…: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հստակեցնել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հանձնաժողովի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խոսքը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իրավասու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միջնորդությունը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ստանալուց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վկայականի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դադարեցման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8.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վկայականի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կասեցման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դադարեցման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ակնհայտ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սխալ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թարգամանություն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հիմքով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քրեկան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հարուցումը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ուժի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մտած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մահը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դադարեցման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միջնորդություն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ցանկը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ընդլայնել՝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ներառելով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շահագրգիռ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վկայականի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դադարեցման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կասեցման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վարչական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նախաձեռնությամբ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օրինակ՝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նձից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տեղեկատվություն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ակնհայտ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սխալ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թարգամանություն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հիմքով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քրեական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հարուցում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հիմքով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խմբագրել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42-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9.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հանձնաժողովի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տեքստի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ռագիր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համակարգչի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ձեռագիր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իրականացնելը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ռիսկեր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պարունակում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՛՛անանուն՛՛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կորցնում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իմաստը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10.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լեզվի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իմացության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գոնե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բանավոր՝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հանգամանքը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թարգմանությունները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ընթացակարգով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որպեսզի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թարգմանիչը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տիրապետի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հմտություններին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խոսքը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առումով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ճիշտ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մատչելի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կառուցելու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արագ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թարգմանելու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հաղորդակցվելու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ըմբռնելու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ունակություններ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Լեզվի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իմացության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անցկացնելու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պարագայում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խուսափել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ավելորդ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ռեսուրսների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վատնումից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միջամտելու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ռիսկից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գնահատումը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ունենալու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անմիջապես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հանձնաժողովի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անդամների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ձայնագրվելու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11.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վկայականի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դադարեցվել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երևէ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կրկին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ստանալ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վկայական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դադարեցումից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րքան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պայմաններով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     2.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3.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4.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գիտություն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5.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6.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7.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8.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9.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10.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11.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020C" w:rsidRDefault="00DF27D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քրեական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15-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2.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շուտ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անցկացնելու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արդարադատության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ելնե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պրակտիկայում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անհրաժեշտությունից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3.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շարադրվել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խմբագրությամբ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Տվյալ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հանդես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գալիս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վերջնական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փաստաթուղթ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4.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կապված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հիմնարկների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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5-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կիրառելի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իրավահարաբերություններում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արդարադատության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հանդես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գալիս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միջնորդ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փոխանցվում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փորձագետնե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տրամադրված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հաշվեհամարներին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5.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ենթադրում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անպայման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անցկացնել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տասն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կացվելու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տասն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օրվա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պայմանավորված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հանգ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ամանքով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հաճախ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ծավալը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6.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Իրազեկման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մեկօրյա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7.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լրացումներ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8.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լրացումներ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9.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շարադրվել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խմբագրությամբ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10.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հանգամանքը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մասնակիցների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թիվը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անցկացնել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տարբերակով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դիմորդների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ստուգելիս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անպայման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վերջիններիս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խոսքի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կառուցվածքը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11.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լրացումներ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</w:tbl>
    <w:p w:rsidR="00000000" w:rsidRDefault="00DF27DE"/>
    <w:sectPr w:rsidR="00000000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0C"/>
    <w:rsid w:val="00DF27DE"/>
    <w:rsid w:val="00E8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4445E-AF12-4C8C-B573-90A732D9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1827</Words>
  <Characters>10416</Characters>
  <Application>Microsoft Office Word</Application>
  <DocSecurity>4</DocSecurity>
  <Lines>86</Lines>
  <Paragraphs>24</Paragraphs>
  <ScaleCrop>false</ScaleCrop>
  <Manager/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2</cp:revision>
  <dcterms:created xsi:type="dcterms:W3CDTF">2018-11-21T07:47:00Z</dcterms:created>
  <dcterms:modified xsi:type="dcterms:W3CDTF">2018-11-21T07:47:00Z</dcterms:modified>
  <cp:category/>
</cp:coreProperties>
</file>