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4B78" w:rsidRPr="00FF4B78" w:rsidRDefault="00FF4B78" w:rsidP="00FF4B78">
      <w:pPr>
        <w:tabs>
          <w:tab w:val="center" w:pos="4680"/>
          <w:tab w:val="center" w:pos="7229"/>
          <w:tab w:val="center" w:pos="7285"/>
          <w:tab w:val="right" w:pos="9360"/>
          <w:tab w:val="left" w:pos="11057"/>
          <w:tab w:val="left" w:pos="11266"/>
        </w:tabs>
        <w:jc w:val="center"/>
        <w:rPr>
          <w:rFonts w:ascii="GHEA Grapalat" w:hAnsi="GHEA Grapalat"/>
          <w:b/>
          <w:sz w:val="24"/>
          <w:szCs w:val="24"/>
        </w:rPr>
      </w:pPr>
      <w:r w:rsidRPr="00FF4B78">
        <w:rPr>
          <w:rFonts w:ascii="GHEA Grapalat" w:hAnsi="GHEA Grapalat"/>
          <w:b/>
          <w:sz w:val="24"/>
          <w:szCs w:val="24"/>
        </w:rPr>
        <w:t>ԱՄՓՈՓԱԹԵՐԹ</w:t>
      </w:r>
    </w:p>
    <w:p w:rsidR="00FF4B78" w:rsidRPr="00FF4B78" w:rsidRDefault="00FF4B78" w:rsidP="00FF4B78">
      <w:pPr>
        <w:tabs>
          <w:tab w:val="center" w:pos="4680"/>
          <w:tab w:val="center" w:pos="7285"/>
          <w:tab w:val="right" w:pos="9360"/>
          <w:tab w:val="left" w:pos="11266"/>
        </w:tabs>
        <w:jc w:val="center"/>
        <w:rPr>
          <w:rFonts w:ascii="GHEA Grapalat" w:hAnsi="GHEA Grapalat"/>
          <w:b/>
          <w:sz w:val="24"/>
          <w:szCs w:val="24"/>
        </w:rPr>
      </w:pPr>
      <w:r w:rsidRPr="00FF4B78">
        <w:rPr>
          <w:rFonts w:ascii="GHEA Grapalat" w:hAnsi="GHEA Grapalat"/>
          <w:b/>
          <w:sz w:val="24"/>
          <w:szCs w:val="24"/>
          <w:lang w:val="hy-AM"/>
        </w:rPr>
        <w:t></w:t>
      </w:r>
      <w:r w:rsidRPr="00FF4B78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ԹԱՐԳՄԱՆՉԻ ՈՐԱԿԱՎՈՐՄԱՆ ԿԱՐԳԸ ՍԱՀՄԱՆԵԼՈՒ ՄԱՍԻՆ</w:t>
      </w:r>
      <w:r w:rsidRPr="00FF4B78">
        <w:rPr>
          <w:rFonts w:ascii="GHEA Grapalat" w:hAnsi="GHEA Grapalat"/>
          <w:b/>
          <w:sz w:val="24"/>
          <w:szCs w:val="24"/>
          <w:lang w:val="hy-AM"/>
        </w:rPr>
        <w:t> ԿԱՌԱՎԱՐՈՒԹՅԱՆ ՈՐՈՇՄԱՆ</w:t>
      </w:r>
      <w:r w:rsidRPr="00FF4B78">
        <w:rPr>
          <w:rFonts w:ascii="GHEA Grapalat" w:hAnsi="GHEA Grapalat" w:cs="Sylfaen"/>
          <w:b/>
          <w:sz w:val="24"/>
          <w:szCs w:val="24"/>
          <w:lang w:val="af-ZA"/>
        </w:rPr>
        <w:t xml:space="preserve"> ՆԱԽԱԳԾ</w:t>
      </w:r>
      <w:r w:rsidRPr="00FF4B78">
        <w:rPr>
          <w:rFonts w:ascii="GHEA Grapalat" w:hAnsi="GHEA Grapalat" w:cs="Sylfaen"/>
          <w:b/>
          <w:sz w:val="24"/>
          <w:szCs w:val="24"/>
        </w:rPr>
        <w:t>Ի</w:t>
      </w:r>
      <w:r w:rsidRPr="00FF4B78">
        <w:rPr>
          <w:rFonts w:ascii="GHEA Grapalat" w:hAnsi="GHEA Grapalat" w:cs="Sylfaen"/>
          <w:b/>
          <w:spacing w:val="-4"/>
          <w:sz w:val="24"/>
          <w:szCs w:val="24"/>
          <w:lang w:val="pt-BR"/>
        </w:rPr>
        <w:t xml:space="preserve"> </w:t>
      </w:r>
      <w:r w:rsidRPr="00FF4B78">
        <w:rPr>
          <w:rFonts w:ascii="GHEA Grapalat" w:hAnsi="GHEA Grapalat"/>
          <w:b/>
          <w:sz w:val="24"/>
          <w:szCs w:val="24"/>
          <w:lang w:val="hy-AM"/>
        </w:rPr>
        <w:t>ՎԵՐԱԲԵՐՅԱԼ ՍՏԱՑՎԱԾ ԴԻՏՈՂՈՒԹՅՈՒՆՆԵՐԻ ԵՎ ԱՌԱՋԱՐԿՈՒԹՅՈՒՆՆԵՐԻ</w:t>
      </w:r>
    </w:p>
    <w:p w:rsidR="008169AA" w:rsidRPr="00FF4B78" w:rsidRDefault="008169AA">
      <w:pPr>
        <w:rPr>
          <w:sz w:val="24"/>
          <w:szCs w:val="24"/>
        </w:rPr>
      </w:pPr>
    </w:p>
    <w:p w:rsidR="008169AA" w:rsidRDefault="008169AA"/>
    <w:p w:rsidR="008169AA" w:rsidRDefault="008169AA">
      <w:bookmarkStart w:id="0" w:name="_GoBack"/>
      <w:bookmarkEnd w:id="0"/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3"/>
        <w:gridCol w:w="2201"/>
        <w:gridCol w:w="4774"/>
        <w:gridCol w:w="3390"/>
        <w:gridCol w:w="3097"/>
      </w:tblGrid>
      <w:tr w:rsidR="008169AA" w:rsidTr="002E29B7">
        <w:tc>
          <w:tcPr>
            <w:tcW w:w="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հ/</w:t>
            </w:r>
          </w:p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հ</w:t>
            </w:r>
          </w:p>
        </w:tc>
        <w:tc>
          <w:tcPr>
            <w:tcW w:w="2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Առարկության, առաջարկության հեղինակը, ստացման ամսաթիվը</w:t>
            </w:r>
          </w:p>
        </w:tc>
        <w:tc>
          <w:tcPr>
            <w:tcW w:w="4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Առարկության, առաջարկության բովանդակությունը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Եզրակացություն</w:t>
            </w:r>
          </w:p>
        </w:tc>
        <w:tc>
          <w:tcPr>
            <w:tcW w:w="3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Կատարված փոփոխությունը</w:t>
            </w:r>
          </w:p>
        </w:tc>
      </w:tr>
      <w:tr w:rsidR="008169AA" w:rsidTr="002E29B7">
        <w:tc>
          <w:tcPr>
            <w:tcW w:w="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69AA" w:rsidRDefault="008169AA">
            <w:pPr>
              <w:jc w:val="center"/>
            </w:pPr>
          </w:p>
        </w:tc>
        <w:tc>
          <w:tcPr>
            <w:tcW w:w="2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4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3</w:t>
            </w:r>
          </w:p>
        </w:tc>
        <w:tc>
          <w:tcPr>
            <w:tcW w:w="3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4</w:t>
            </w:r>
          </w:p>
        </w:tc>
      </w:tr>
      <w:tr w:rsidR="008169AA" w:rsidTr="002E29B7">
        <w:tc>
          <w:tcPr>
            <w:tcW w:w="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«Դիսըբիլիթի ինֆո» հասարակական կազմակերպություն</w:t>
            </w:r>
          </w:p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13.08.2018 11:59:42</w:t>
            </w:r>
          </w:p>
        </w:tc>
        <w:tc>
          <w:tcPr>
            <w:tcW w:w="4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Վերանայել կարգը՝ այն համապատասխանեցնելով նաև ժեստերի լեզվի թարգմանիչների որակավորման առանձնահատկություններին։ Օրինակ՝ հստակեցնել, թե ինչպես է ապահովվելու փորձագետի գնահատմանը ներկայացնելու անանունությունն այս դեպքում։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Չի ընդունվել:</w:t>
            </w:r>
          </w:p>
        </w:tc>
        <w:tc>
          <w:tcPr>
            <w:tcW w:w="3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Օրենսդրությամբ ժեստերի լեզվով թարգմանիչների որակավորման պահանջ առկա չէ:</w:t>
            </w:r>
          </w:p>
        </w:tc>
      </w:tr>
      <w:tr w:rsidR="008169AA" w:rsidTr="002E29B7">
        <w:tc>
          <w:tcPr>
            <w:tcW w:w="4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2E29B7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>Ռուզաննա Ազրոյան</w:t>
            </w:r>
          </w:p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30.07.2018 13:57:50</w:t>
            </w:r>
          </w:p>
        </w:tc>
        <w:tc>
          <w:tcPr>
            <w:tcW w:w="478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՛՛Թարգմանչի որակավորման կարգը սահմանելու մասին՛՛ ՀՀ կառավարության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որոշման նախագծի վերաբերյալ /այսուհետ՝ Նախագիծ/, հայտնում եմ հետևյալը. 1.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Նախագծի նախաբանում հղում է կատարված քաղաքացիական դատավարության օրենսգրքի 46-րդ հոդվածի 3-րդ և քրեական դատավարության օրենսգրքի 15-րդ հոդվածի 7-րդ մասերին, սակայն հարկ է նկատել, որ ի տարբերություն  քաղաքացիական դատավարության օրենսգրքի, քրեական դատավարության օրենսգրքով չի պահանջվում թարգմանչի որակավորում: Սակայն, եթե հիմք է ընդունվել նշված նորմում վերացական սահմանված ՛՛…թարգմանիչ, սուրդոթարգմանիչ կամ օգնական նշանակելու կարգը…՛՛ արտահայտությունը, ապա նույն տրամաբանությամբ անհրաժեշտ է հղում կատարել նաև ՀՀ վարչական դատավարության օրենսգրքի 9-րդ հոդվածի 9-րդ մասի վրա, հակառակ պարագայում սույն Նախագիծը հակասության մեջ կմտնի ՛՛Պետական միջոցների հաշվին թարգմանչի, սուրդոթարգմանչի եվ տեսողական սահմանափակումների պատճառով հաշմանդամություն ունեցող անձի օգնականի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ծառայություններ մատուցող անձին նշանակելու կարգը, նրա վարձատրության չափը եվ կարգը սահմանելու մասին՛՛ ՀՀ կառավարության նախագծի հետ, մասնավորապես այդ նախագծով հաստատվող կարգի 1-ին կետի հետ: 2.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>Նախագծով հաստատվող կարգի /այսուհետ՝ Կարգ/ 8-րդ կետի համաձայն՝ ստուգումները պարտադիր կազմակերպվում են առնվազն տարեկան մեկ անգամ՝ նախարարի հրամանով: Կարծում եմ ժամակետը բավականին երկար է և կարող է գործնականում խոչընդոտներ առաջացնել: Նախ առաջարկում եմ կրճատել ժամկետը, ինչպես նաև նախատեսել, որ X քանակությամբ /օրինակ 20/ դիմումների առկայության պարագայում Նախարարությունը պարտավորվում է անմիջապես ձեռնամուխ լինել ստուգումների կազմակերպմանը, հակառակ պարագայում անձը/անձինք կարող են մոտ 1 տարի սպասել ստուգումների կազմակերպմանը: 3.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 Կարգի 16-րդ կետի համաձայն՝ Հայաստանի Հանրապետությունում որոշակի լեզվից փորձագետի բացակայության դեպքում տվյալ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դիմողին հանձնաժողովի կողմից կարող է տրվել տեղեկանք` հիմք ընդունելով դիմողի կողմից ներկայացված համապատասխան լեզվին տիրապետելու մասին փաստաթղթերը: Անհրաժեշտ է հստակեցնել, արդյոք այդ տեղեկանքը նման դեպքում որակավորումը հավաստող վերջնական փաստաթուղթ է, որը ներկայացվելու է համապատասխան մարմին/դատարան/, թե այդ տեղեկանքի հիման վրա տրամադրվելու է որակավորման վկայականը: 4.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Կարգի 17-րդ կետի համաձայն՝ Փորձագետների աշխատանքի դիմաց վճարում են դիմողները՝ յուրաքանչյուրն իր աշխատանքի ստուգման համար 10000 ՀՀ դրամ (Կարգի 3-րդ կետի 5րդ ենթակետի համաձայն՝ դիմողը Նախարարոթյուն պետք է ներկայացնի պետական տուրքի և աշխատանքի ստուգման համար վճարի կատարված լինելը հավաստող փաստաթղթերը): Անհրաժեշտ է հստակեցնել, թե ինչպես և որտեղ է կատարվելու համապատասխան վճարումը /հետագայում ինչպես է հասնելու հասցեատիրոջը՝ ստուգում իրականացնող անձին/, քանի որ պետական տուրքի համար նախատեսված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գանձապետական հաշիվը նախատեսված է բացառապես պետական տուրքերի վճարման համար: 5.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>Կարգի 21-րդ կետի համաձայն՝ Ստուգումն իրականացվում է քննության անցկացմանը հաջորդող տասն աշխատանքային օրվա ընթացքում: Իրավակիրառ պրտակտիկան ընթանում է այն ուղղությամբ, որ հնարավորինս կրճատվեն ստուգում իրականացնելու ժամկետները /դատավորների թեկնածությունների ցուցակի համալրման, փաստաբանական դպրոցի ընդունելություն և այլն/՝ նպատակ ունենալով նվազագույնի հասցնել հնարավոր չարաշահումները, միջամտությունները, կոռուպցիոն ռիսկերը: Չեմ կարծում, որ թարգմանչի լեզվի իմացության ստուգումը ավելի բարդ գործընթաց է, քան օրինակ վերը թվարկածները: Առաջարկում եմ հնարավորինս կրճատել և նվազագույնի հասցնել վերը նշված ժամկետը: 6.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Կարգի 22-րդ կետի համաձայն՝ Ստուգումների արդյունքների մասին դիմողը էլեկտրոնային հասցեով  իրազեկվում է ոչ ուշ, քան  ստուգման արդյունքը նախարարություն մուտք լինելու օրվան հաջորդող երեք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աշխատանքային օրվա ընթացքում: Սույն կետում նույն խնդրիրն է, ինչ վերը նշվածում: Արդյունքները ստանալուց հետո՝ նախարարությունը այլ անելիքներ չունի, քան տեղեկացնել դիմումատուին արդյունքների մասին: Կարծում եմ, երեք աշխատանքային օր արդյունքները նախարարությունում ՛՛դեպոնացնելը՛՛ չի բխում ոչ դիմումատուի, ոչ էլ թափանցիկ քաղաքականության սկզբունքներից: Առկա է դրանց վրա ազդելու ռիսկ: 7.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>Կարգի 42-րդ կետի համաձայն՝ Իրավասու մարմնի միջնորդությամբ վկայականի գործողությունը դադարեցվում է հանձնաժողովի որոշմամբ…: Անհրաժեշտ է հստակեցնել, որ հանձնաժողովի մասին է խոսքը, ինչպես նաև առաջարկում եմ սահմանել ժամկետ, թե իրավասու մարմնի միջնորդությունը ստանալուց հետո երբ է քննության առնվում վկայականի գործողության դադարեցման հարցը: 8.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Առաջարկում եմ սահմանել վկայականի կասեցման և դադարեցման դեպքեր՝ օրինակ ակնհայտ սխալ թարգամանություն կատարելու հիմքով քրեկան գործի հարուցումը, օրինական ուժի մեջ մտած դատական ակտը, անձի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դիմումը, անձի մահը և այլն: Առաջարկում եմ վակայականի դադարեցման միջնորդություն ներկայացնող անձանց ցանկը ընդլայնել՝ ներառելով նաև այլ շահագրգիռ անձանց, օրինակ դատավարության կողմին, ինչպես նաև վկայականի դադարեցման կամ կասեցման հարցը կարող է քննության առնվել վարչական մարմնի նախաձեռնությամբ (օրինակ՝ 3րդ անձից ստացված տեղեկատվություն, կամ ակնհայտ սխալ թարգամանություն կատարելու հիմքով քրեական գործի հարուցում և այլն): Այս հիմքով անհրաժեշտ է խմբագրել նաև Կարգի 42-րդ կետը: 9.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>Կարգից պարզ չէ, թե հանձնաժողովի կողմից տրվող տեքստի թարգմանությունը իրականացվելու է ձեռագիր թե համակարգչի միջոցով: Ամեն դեպքում, ձեռագիր իրականացնելը իր մեջ մեծ ռիսկեր է պարունակում և ստուգում իրականացնող անձին ՛՛անանուն՛՛ տրված աշխատանքը կորցնում է իր իմաստը: 10.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 xml:space="preserve">Առաջարկում եմ լեզվի իմացության ստուգումը իրականացնել բանավոր  կամ գոնե գրավոր և բանավոր՝ հաշվի առնելով այն հանգամանքը, որ դատարանում թարգմանությունները չեն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իրականացվում գրավոր ընթացակարգով, այլ ընթանում են բանավոր և անհրաժեշտ է որպեսզի թարգմանիչը ոչ թե տիրապետի գրավոր թարգմանության հմտություններին, այլ ունենա բանավոր խոսքը բովանդակային առումով ճիշտ, մատչելի կառուցելու, արագ թարգմանելու, հեշտ հաղորդակցվելու, ըմբռնելու ունակություններ: Լեզվի իմացության ստուգումը բանավոր անցկացնելու պարագայում հնարավոր է խուսափել ավելորդ ռեսուրսների վատնումից, միջամտելու ռիսկից, քանի որ գնահատումը տեղի է ունենալու անմիջապես, հանձնաժողովի այլ անդամների ներկայությամբ, նաև քննությունը ձայնագրվելու է: 11.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tab/>
              <w:t>Կարգից պարզ չէ, թե անձը, ում վկայականի գործողությունը դադարեցվել է, արդյոք կարող է երևէ կրկին դիմել  և ստանալ վկայական: Եթե այո, ապա՝ դադարեցումից հետո, որքան ժամանակ անց և ինչ պայմաններով, իսկ եթե՝ ոչ, անհրաժեշտ է նշում կատարել կարգում:</w:t>
            </w:r>
          </w:p>
        </w:tc>
        <w:tc>
          <w:tcPr>
            <w:tcW w:w="340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1. Ընդունվել է:       2. Չի ընդունվել: 3. Ընդունվել է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մասնակի: 4. Ընդունվել է ի գիտություն: 5. Չի ընդունվել: 6. Ընդունվել է: 7. Ընդունվել է: 8. Ընդունվել է: 9. Ընդունվել է մասնակի: 10. Չի ընդունվել:  11. Ընդունվել է:</w:t>
            </w:r>
          </w:p>
        </w:tc>
        <w:tc>
          <w:tcPr>
            <w:tcW w:w="309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169AA" w:rsidRDefault="0012595A">
            <w:pPr>
              <w:jc w:val="center"/>
            </w:pP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1.Նախագծից հանվել են «քրեական դատավարության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օրենսգրքի 15-րդ հոդվածի 7-րդ» բառերը: 2.Կարգում նախատեսված ժամկետից ավելի շուտ ստուգումներ անցկացնելու հարցը կարող է քննարկվել ՀՀ արդարադատության նախարարի կողմից՝ ելնելով այդ պահին պրակտիկայում առկա անհրաժեշտությունից: 3.Նախագծի հիշյալ դրույթը շարադրվել է նոր խմբագրությամբ: Տվյալ դեպքում տեղեկանքը հանդես է գալիս որպես վերջնական փաստաթուղթ: 4.Հարկ է նշել, որ Նախագծի 17-րդ կետի կարգավորումների հետ կապված «Պետական կառավարչական հիմնարկների մասին ՀՀ օրենքի 5-րդ հոդվածի 2-րդ մասի դրույթները կիրառելի չեն, քանի որ հիշյալ իրավահարաբերություններում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 xml:space="preserve">Հայաստանի Հանրապետության արդարադատության նախարարությունը հանդես է գալիս որպես միջնորդ, իսկ կատարված վճարները փոխանցվում են փորձագետների կողմից տրամադրված հաշվեհամարներին: 5.Կարգի 21-րդ կետի կարգավորումները չեն ենթադրում անպայման աշխատանքների ստուգումն անցկացնել տասն աշխատանքային օրում, այլ ստուգումն անց է կացվելու տասն աշխատանքային օրվա ընթացքում: Հիշյալ դրույթը պայմանավորված է այն հանգամանքով, որ շատ հաճախ ստուգման ենթակա աշխատանքների ծավալը մեծ է լինում: 6.Իրազեկման համար սահմանվել է մեկօրյա </w:t>
            </w:r>
            <w:r>
              <w:rPr>
                <w:rFonts w:ascii="GHEA Grapalat" w:eastAsia="GHEA Grapalat" w:hAnsi="GHEA Grapalat" w:cs="GHEA Grapalat"/>
                <w:color w:val="000000"/>
                <w:sz w:val="22"/>
                <w:szCs w:val="22"/>
              </w:rPr>
              <w:lastRenderedPageBreak/>
              <w:t>ժամկետ: 7.Նախագծում կատարվել են համապատասխան լրացումներ: 8.Նախագծում կատարվել են համապատասխան լրացումներ: 9.Նախագծի հիշյալ դրույթը շարադրվել է նոր խմբագրությամբ: 10.Հաշվի առնելով այն հանգամանքը, որ ստուգումների մասնակիցների թիվը մեծ է լինում, առավել նպատակահարմար է ստուգումն անցկացնել գրավոր տարբերակով: Հարկ է նշել, որ դիմորդների աշխատանքները ստուգելիս անպայման հաշվի են առնվում նաև վերջիններիս գրավոր խոսքի կառուցվածքը: 11.Նախագծում կատարվել են համապատասխան լրացումներ:</w:t>
            </w:r>
          </w:p>
        </w:tc>
      </w:tr>
    </w:tbl>
    <w:p w:rsidR="0012595A" w:rsidRDefault="0012595A"/>
    <w:sectPr w:rsidR="0012595A" w:rsidSect="008169AA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9AA"/>
    <w:rsid w:val="0012595A"/>
    <w:rsid w:val="002E29B7"/>
    <w:rsid w:val="008169AA"/>
    <w:rsid w:val="00FF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309F918-247E-4E9D-8DCB-4FFF0F225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16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8169AA"/>
    <w:rPr>
      <w:vertAlign w:val="superscript"/>
    </w:rPr>
  </w:style>
  <w:style w:type="paragraph" w:customStyle="1" w:styleId="headingtitleStyle">
    <w:name w:val="heading titleStyle"/>
    <w:basedOn w:val="Normal"/>
    <w:rsid w:val="008169AA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9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1268</Words>
  <Characters>7232</Characters>
  <Application>Microsoft Office Word</Application>
  <DocSecurity>0</DocSecurity>
  <Lines>60</Lines>
  <Paragraphs>16</Paragraphs>
  <ScaleCrop>false</ScaleCrop>
  <Manager/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https://mul.gov.am/tasks/docs/attachment.php?id=492614&amp;fn=Ampopatert-%281%29.docx&amp;out=1&amp;token=f147e6c2f43b7a3fcaa1</cp:keywords>
</cp:coreProperties>
</file>