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14" w:rsidRPr="009D37FF" w:rsidRDefault="00413C14" w:rsidP="00413C14">
      <w:pPr>
        <w:spacing w:after="0"/>
        <w:ind w:right="282" w:firstLine="567"/>
        <w:jc w:val="right"/>
        <w:rPr>
          <w:rFonts w:ascii="GHEA Grapalat" w:hAnsi="GHEA Grapalat" w:cs="Sylfaen"/>
          <w:sz w:val="24"/>
          <w:szCs w:val="24"/>
          <w:u w:val="single"/>
          <w:lang w:val="hy-AM"/>
        </w:rPr>
      </w:pPr>
      <w:r w:rsidRPr="009D37FF">
        <w:rPr>
          <w:rFonts w:ascii="GHEA Grapalat" w:hAnsi="GHEA Grapalat" w:cs="Sylfaen"/>
          <w:sz w:val="24"/>
          <w:szCs w:val="24"/>
          <w:u w:val="single"/>
          <w:lang w:val="hy-AM"/>
        </w:rPr>
        <w:t>ՆԱԽԱԳԻԾ</w:t>
      </w:r>
    </w:p>
    <w:p w:rsidR="00413C14" w:rsidRPr="009D37FF" w:rsidRDefault="00413C14" w:rsidP="00EF532F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F532F" w:rsidRPr="009D37FF" w:rsidRDefault="00EF532F" w:rsidP="00EF532F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D37FF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9D37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D37FF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9D37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D37FF">
        <w:rPr>
          <w:rFonts w:ascii="GHEA Grapalat" w:hAnsi="GHEA Grapalat" w:cs="Sylfaen"/>
          <w:b/>
          <w:sz w:val="24"/>
          <w:szCs w:val="24"/>
          <w:lang w:val="hy-AM"/>
        </w:rPr>
        <w:t>ԿԱՌԱՎԱՐՈՒԹՅՈՒՆ</w:t>
      </w:r>
    </w:p>
    <w:p w:rsidR="00EF532F" w:rsidRPr="009D37FF" w:rsidRDefault="00EF532F" w:rsidP="00EF532F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F532F" w:rsidRPr="009D37FF" w:rsidRDefault="00EF532F" w:rsidP="00EF532F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D37FF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9D37F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D37FF">
        <w:rPr>
          <w:rFonts w:ascii="GHEA Grapalat" w:hAnsi="GHEA Grapalat" w:cs="Sylfaen"/>
          <w:b/>
          <w:sz w:val="24"/>
          <w:szCs w:val="24"/>
          <w:lang w:val="pt-BR"/>
        </w:rPr>
        <w:t>Ր</w:t>
      </w:r>
      <w:r w:rsidRPr="009D37F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D37FF">
        <w:rPr>
          <w:rFonts w:ascii="GHEA Grapalat" w:hAnsi="GHEA Grapalat" w:cs="Sylfaen"/>
          <w:b/>
          <w:sz w:val="24"/>
          <w:szCs w:val="24"/>
          <w:lang w:val="pt-BR"/>
        </w:rPr>
        <w:t>Ո</w:t>
      </w:r>
      <w:r w:rsidRPr="009D37F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D37FF">
        <w:rPr>
          <w:rFonts w:ascii="GHEA Grapalat" w:hAnsi="GHEA Grapalat" w:cs="Sylfaen"/>
          <w:b/>
          <w:sz w:val="24"/>
          <w:szCs w:val="24"/>
          <w:lang w:val="pt-BR"/>
        </w:rPr>
        <w:t>Շ</w:t>
      </w:r>
      <w:r w:rsidRPr="009D37F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D37FF">
        <w:rPr>
          <w:rFonts w:ascii="GHEA Grapalat" w:hAnsi="GHEA Grapalat" w:cs="Sylfaen"/>
          <w:b/>
          <w:sz w:val="24"/>
          <w:szCs w:val="24"/>
          <w:lang w:val="pt-BR"/>
        </w:rPr>
        <w:t>ՈՒ</w:t>
      </w:r>
      <w:r w:rsidRPr="009D37FF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Pr="009D37FF">
        <w:rPr>
          <w:rFonts w:ascii="GHEA Grapalat" w:hAnsi="GHEA Grapalat" w:cs="Sylfaen"/>
          <w:b/>
          <w:sz w:val="24"/>
          <w:szCs w:val="24"/>
          <w:lang w:val="pt-BR"/>
        </w:rPr>
        <w:t>Մ</w:t>
      </w:r>
    </w:p>
    <w:p w:rsidR="00EF532F" w:rsidRPr="009D37FF" w:rsidRDefault="00EF532F" w:rsidP="00EF532F">
      <w:pPr>
        <w:spacing w:after="0"/>
        <w:ind w:right="282" w:firstLine="567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F532F" w:rsidRPr="009D37FF" w:rsidRDefault="00EF532F" w:rsidP="00EF532F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9D37FF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«___» «__________________» 2018 թվականի N __ Ն</w:t>
      </w:r>
    </w:p>
    <w:p w:rsidR="00EF532F" w:rsidRPr="009D37FF" w:rsidRDefault="00EF532F" w:rsidP="00EF532F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EF532F" w:rsidRPr="009D37FF" w:rsidRDefault="00EF532F" w:rsidP="00EF532F">
      <w:pPr>
        <w:autoSpaceDE w:val="0"/>
        <w:autoSpaceDN w:val="0"/>
        <w:adjustRightInd w:val="0"/>
        <w:spacing w:after="0"/>
        <w:ind w:right="282" w:firstLine="567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EF532F" w:rsidRPr="009D37FF" w:rsidRDefault="00EF532F" w:rsidP="00EF532F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  <w:r w:rsidRPr="009D37FF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ՀԱՅԱՍՏԱՆԻ ՀԱՆՐԱՊԵՏՈՒԹՅԱՆ ԿԱՌԱՎԱՐՈՒԹՅԱՆ 2013 ԹՎԱԿԱՆԻ ՄԱՅԻՍԻ 2-Ի № 502-Ն ՈՐՈՇՄԱՆ ՄԵՋ ՓՈՓՈԽՈՒԹՅՈՒՆ </w:t>
      </w:r>
      <w:r w:rsidR="008F414A" w:rsidRPr="009D37FF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 xml:space="preserve">ԵՎ ԼՐԱՑՈՒՄ </w:t>
      </w:r>
      <w:r w:rsidRPr="009D37FF"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  <w:t>ԿԱՏԱՐԵԼՈՒ ՄԱՍԻՆ</w:t>
      </w:r>
    </w:p>
    <w:p w:rsidR="00EF532F" w:rsidRPr="009D37FF" w:rsidRDefault="00EF532F" w:rsidP="00EF532F">
      <w:pPr>
        <w:autoSpaceDE w:val="0"/>
        <w:autoSpaceDN w:val="0"/>
        <w:adjustRightInd w:val="0"/>
        <w:spacing w:after="0"/>
        <w:ind w:right="282" w:firstLine="567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EF532F" w:rsidRPr="009D37FF" w:rsidRDefault="00EF532F" w:rsidP="00EF532F">
      <w:pPr>
        <w:autoSpaceDE w:val="0"/>
        <w:autoSpaceDN w:val="0"/>
        <w:adjustRightInd w:val="0"/>
        <w:spacing w:after="0"/>
        <w:ind w:right="282" w:firstLine="567"/>
        <w:rPr>
          <w:rFonts w:ascii="GHEA Grapalat" w:eastAsia="Calibri" w:hAnsi="GHEA Grapalat"/>
          <w:b/>
          <w:bCs/>
          <w:iCs/>
          <w:noProof/>
          <w:sz w:val="24"/>
          <w:szCs w:val="24"/>
          <w:lang w:val="hy-AM"/>
        </w:rPr>
      </w:pPr>
    </w:p>
    <w:p w:rsidR="00EF532F" w:rsidRPr="009D37FF" w:rsidRDefault="00EF532F" w:rsidP="002F5EFA">
      <w:pPr>
        <w:autoSpaceDE w:val="0"/>
        <w:autoSpaceDN w:val="0"/>
        <w:adjustRightInd w:val="0"/>
        <w:spacing w:after="0" w:line="360" w:lineRule="auto"/>
        <w:ind w:right="282" w:firstLine="284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  <w:r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Հիմք ընդունելով «Նորմատիվ իրավական ակտերի մասին» ՀՀ օրենքի 33-րդ հոդվածի 1-ին մասի</w:t>
      </w:r>
      <w:r w:rsidR="00EE7D0D"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3</w:t>
      </w:r>
      <w:r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-րդ կետը</w:t>
      </w:r>
      <w:r w:rsidR="002F5EFA"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` </w:t>
      </w:r>
      <w:r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Կառավարությունը որոշում է.</w:t>
      </w:r>
    </w:p>
    <w:p w:rsidR="00EF532F" w:rsidRPr="009D37FF" w:rsidRDefault="00EF532F" w:rsidP="002F5EF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right="282" w:firstLine="0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  <w:r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Հայաստանի Հանրապետության կառավարության 2013 թվականի մայիսի 2-ի «Հայաստանի Հանրապետության պետական բյուջեի և այլ միջոցների հաշվին գնվող դեղերի տեխնիկական բնութագրերի կազմման չափորոշիչները հաստատելու մասին» № 502-Ն որոշման հավելվածի </w:t>
      </w:r>
      <w:r w:rsidR="008F414A"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2.1 և </w:t>
      </w:r>
      <w:r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2.2</w:t>
      </w:r>
      <w:r w:rsidR="008F414A"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</w:t>
      </w:r>
      <w:r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</w:t>
      </w:r>
      <w:r w:rsidR="00D4665F"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կետ</w:t>
      </w:r>
      <w:r w:rsidR="008F414A"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երը շարադրել հետևյալ բովանդակությամբ`</w:t>
      </w:r>
    </w:p>
    <w:p w:rsidR="00986FF3" w:rsidRPr="009D37FF" w:rsidRDefault="009D37FF" w:rsidP="000E576C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left="567" w:right="282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  <w:r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«</w:t>
      </w:r>
      <w:r w:rsidR="00986FF3"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2.1. Հայաստանի Հանրապետության առողջապահության նախարարության կարիքների համար կատարվող գնումների պլանում կարող են ընդգրկվել նաև</w:t>
      </w:r>
      <w:r w:rsidR="004C11B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</w:t>
      </w:r>
      <w:r w:rsidR="00986FF3"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«Դեղերի մասին» ՀՀ </w:t>
      </w:r>
      <w:r w:rsidR="00C87689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օրենքով նախատեսված  պետության կարիքների համար </w:t>
      </w:r>
      <w:r w:rsidR="00986FF3"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լիազոր մարմնի հատուկ թույլտվությամբ</w:t>
      </w:r>
      <w:r w:rsidR="00135825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</w:t>
      </w:r>
      <w:r w:rsidR="00986FF3"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կիրառվող չգրանցված դեղեր, որոնք ունեն արտադրողի երկրի համապատասխան իրավասու մարմնի կողմից տրված պատշաճ արտադրական գործունեության հավաստագիր և Առողջապահության համաշխարհային կազմակերպության նախաորակավորում և (կամ) գրանցված են Եվրոպական միության անդամ երկրներից որևէ մեկում կամ Ամերիկայի Միացյալ Նահանգներում կամ Ճապոնիայում:</w:t>
      </w:r>
    </w:p>
    <w:p w:rsidR="00986FF3" w:rsidRPr="009D37FF" w:rsidRDefault="00986FF3" w:rsidP="009D37FF">
      <w:pPr>
        <w:pStyle w:val="ListParagraph"/>
        <w:autoSpaceDE w:val="0"/>
        <w:autoSpaceDN w:val="0"/>
        <w:adjustRightInd w:val="0"/>
        <w:spacing w:after="0" w:line="360" w:lineRule="auto"/>
        <w:ind w:left="567" w:right="282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  <w:r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2.2. Սույն որոշման 2.1-ին կետով նախատեսված դեղերի գնման ընթացակարգի հրավերով նախատեսվում է, որ մրցույթի արդյունքում առաջին տեղը զբաղեցրած մատակարարը որակավորման չափանիշները հիմնավորող </w:t>
      </w:r>
      <w:r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lastRenderedPageBreak/>
        <w:t xml:space="preserve">փաստաթղթերի հետ միաժամանակ պարտավորվում է ներկայացնել Հայաստանի Հանրապետության առողջապահության նախարարության «Ակադեմիկոս Էմիլ Գաբրիելյանի անվան դեղերի և բժշկական տեխնոլոգիաների փորձագիտական կենտրոն» փակ բաժնետիրական ընկերության կողմից տրված տեղեկանք՝ արտադրող երկրի համապատասխան իրավասու մարմնի կողմից տրված պատշաճ արտադրական գործունեության հավաստագրի առկայության  և Առողջապահության համաշխարհային կազմակերպության նախաորակավորում </w:t>
      </w:r>
      <w:r w:rsidR="003E4C0B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անց</w:t>
      </w:r>
      <w:r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ած և (կամ) գրանցված են Եվրոպական միության անդամ երկրներից որևէ մեկում կամ Ամերիկայի Միացյալ Նահանգներում կամ Ճապոնիայում  գրանված լինելու վերաբերյալ:</w:t>
      </w:r>
    </w:p>
    <w:p w:rsidR="00EF532F" w:rsidRPr="009D37FF" w:rsidRDefault="00EF532F" w:rsidP="00EF53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right="282" w:firstLine="0"/>
        <w:jc w:val="both"/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</w:pPr>
      <w:r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Սույն որոշումն ուժի մեջ</w:t>
      </w:r>
      <w:r w:rsidR="002F5EFA"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 xml:space="preserve"> է մտնում պաշտոնական</w:t>
      </w:r>
      <w:r w:rsidR="00D4665F" w:rsidRPr="009D37F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4665F" w:rsidRPr="009D37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հրապարակմանը</w:t>
      </w:r>
      <w:r w:rsidR="00D4665F" w:rsidRPr="009D37F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4665F" w:rsidRPr="009D37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հաջորդող</w:t>
      </w:r>
      <w:r w:rsidR="00D4665F" w:rsidRPr="009D37F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D4665F" w:rsidRPr="009D37F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օրվանից</w:t>
      </w:r>
      <w:r w:rsidR="002F5EFA" w:rsidRPr="009D37FF">
        <w:rPr>
          <w:rFonts w:ascii="GHEA Grapalat" w:eastAsia="Calibri" w:hAnsi="GHEA Grapalat"/>
          <w:bCs/>
          <w:iCs/>
          <w:noProof/>
          <w:sz w:val="24"/>
          <w:szCs w:val="24"/>
          <w:lang w:val="hy-AM"/>
        </w:rPr>
        <w:t>:</w:t>
      </w:r>
    </w:p>
    <w:p w:rsidR="00EF532F" w:rsidRPr="009D37FF" w:rsidRDefault="00EF532F" w:rsidP="00EF532F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F5EFA" w:rsidRPr="009D37FF" w:rsidRDefault="002F5EFA" w:rsidP="00EF532F">
      <w:pPr>
        <w:autoSpaceDE w:val="0"/>
        <w:autoSpaceDN w:val="0"/>
        <w:adjustRightInd w:val="0"/>
        <w:spacing w:after="0"/>
        <w:ind w:right="282" w:firstLine="567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2F5EFA" w:rsidRPr="009D37FF" w:rsidRDefault="002F5EFA" w:rsidP="002F5EFA">
      <w:pPr>
        <w:rPr>
          <w:rFonts w:ascii="GHEA Grapalat" w:hAnsi="GHEA Grapalat"/>
          <w:sz w:val="24"/>
          <w:szCs w:val="24"/>
          <w:lang w:val="hy-AM"/>
        </w:rPr>
      </w:pPr>
    </w:p>
    <w:p w:rsidR="00B258F9" w:rsidRPr="009D37FF" w:rsidRDefault="00B258F9" w:rsidP="002F5EFA">
      <w:pPr>
        <w:rPr>
          <w:rFonts w:ascii="GHEA Grapalat" w:hAnsi="GHEA Grapalat"/>
          <w:sz w:val="24"/>
          <w:szCs w:val="24"/>
          <w:lang w:val="hy-AM"/>
        </w:rPr>
      </w:pPr>
    </w:p>
    <w:p w:rsidR="00B258F9" w:rsidRPr="009D37FF" w:rsidRDefault="00B258F9" w:rsidP="002F5EFA">
      <w:pPr>
        <w:rPr>
          <w:rFonts w:ascii="GHEA Grapalat" w:hAnsi="GHEA Grapalat"/>
          <w:sz w:val="24"/>
          <w:szCs w:val="24"/>
          <w:lang w:val="hy-AM"/>
        </w:rPr>
      </w:pPr>
    </w:p>
    <w:p w:rsidR="00B258F9" w:rsidRPr="009D37FF" w:rsidRDefault="00B258F9" w:rsidP="002F5EFA">
      <w:pPr>
        <w:rPr>
          <w:rFonts w:ascii="GHEA Grapalat" w:hAnsi="GHEA Grapalat"/>
          <w:sz w:val="24"/>
          <w:szCs w:val="24"/>
          <w:lang w:val="hy-AM"/>
        </w:rPr>
      </w:pPr>
    </w:p>
    <w:p w:rsidR="00B258F9" w:rsidRPr="009D37FF" w:rsidRDefault="00B258F9" w:rsidP="002F5EFA">
      <w:pPr>
        <w:rPr>
          <w:rFonts w:ascii="GHEA Grapalat" w:hAnsi="GHEA Grapalat"/>
          <w:sz w:val="24"/>
          <w:szCs w:val="24"/>
          <w:lang w:val="hy-AM"/>
        </w:rPr>
      </w:pPr>
    </w:p>
    <w:p w:rsidR="00B258F9" w:rsidRPr="009D37FF" w:rsidRDefault="00B258F9" w:rsidP="002F5EFA">
      <w:pPr>
        <w:rPr>
          <w:rFonts w:ascii="GHEA Grapalat" w:hAnsi="GHEA Grapalat"/>
          <w:sz w:val="24"/>
          <w:szCs w:val="24"/>
          <w:lang w:val="hy-AM"/>
        </w:rPr>
      </w:pPr>
    </w:p>
    <w:p w:rsidR="00B258F9" w:rsidRPr="009D37FF" w:rsidRDefault="00B258F9" w:rsidP="002F5EFA">
      <w:pPr>
        <w:rPr>
          <w:rFonts w:ascii="GHEA Grapalat" w:hAnsi="GHEA Grapalat"/>
          <w:sz w:val="24"/>
          <w:szCs w:val="24"/>
          <w:lang w:val="hy-AM"/>
        </w:rPr>
      </w:pPr>
    </w:p>
    <w:p w:rsidR="00B258F9" w:rsidRPr="009D37FF" w:rsidRDefault="00B258F9" w:rsidP="002F5EFA">
      <w:pPr>
        <w:rPr>
          <w:rFonts w:ascii="GHEA Grapalat" w:hAnsi="GHEA Grapalat"/>
          <w:sz w:val="24"/>
          <w:szCs w:val="24"/>
          <w:lang w:val="hy-AM"/>
        </w:rPr>
      </w:pPr>
    </w:p>
    <w:p w:rsidR="00B258F9" w:rsidRPr="009D37FF" w:rsidRDefault="00B258F9" w:rsidP="002F5EFA">
      <w:pPr>
        <w:rPr>
          <w:rFonts w:ascii="GHEA Grapalat" w:hAnsi="GHEA Grapalat"/>
          <w:sz w:val="24"/>
          <w:szCs w:val="24"/>
          <w:lang w:val="hy-AM"/>
        </w:rPr>
      </w:pPr>
    </w:p>
    <w:p w:rsidR="002F5EFA" w:rsidRPr="009D37FF" w:rsidRDefault="002F5EFA" w:rsidP="002F5EFA">
      <w:pPr>
        <w:rPr>
          <w:rFonts w:ascii="GHEA Grapalat" w:hAnsi="GHEA Grapalat"/>
          <w:sz w:val="24"/>
          <w:szCs w:val="24"/>
          <w:lang w:val="hy-AM"/>
        </w:rPr>
      </w:pPr>
    </w:p>
    <w:p w:rsidR="00A13F60" w:rsidRDefault="00A13F60" w:rsidP="002D4AFC">
      <w:pPr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A13F60" w:rsidRDefault="00A13F60" w:rsidP="002D4AFC">
      <w:pPr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A13F60" w:rsidRDefault="00A13F60" w:rsidP="002D4AFC">
      <w:pPr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2D4AFC" w:rsidRPr="009D37FF" w:rsidRDefault="002D4AFC" w:rsidP="002D4AFC">
      <w:pPr>
        <w:spacing w:line="360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9D37FF">
        <w:rPr>
          <w:rFonts w:ascii="GHEA Grapalat" w:hAnsi="GHEA Grapalat" w:cs="GHEA Grapalat"/>
          <w:b/>
          <w:sz w:val="24"/>
          <w:szCs w:val="24"/>
          <w:lang w:val="hy-AM"/>
        </w:rPr>
        <w:lastRenderedPageBreak/>
        <w:t>ՀԻՄՆԱՎՈՐՈՒՄ</w:t>
      </w:r>
    </w:p>
    <w:p w:rsidR="002D4AFC" w:rsidRPr="009D37FF" w:rsidRDefault="002D4AFC" w:rsidP="002D4AFC">
      <w:pPr>
        <w:pStyle w:val="mechtex"/>
        <w:spacing w:line="360" w:lineRule="auto"/>
        <w:rPr>
          <w:rFonts w:ascii="GHEA Grapalat" w:hAnsi="GHEA Grapalat" w:cs="GHEA Grapalat"/>
          <w:b/>
          <w:sz w:val="24"/>
          <w:szCs w:val="24"/>
          <w:lang w:val="hy-AM"/>
        </w:rPr>
      </w:pPr>
      <w:r w:rsidRPr="009D37FF">
        <w:rPr>
          <w:rFonts w:ascii="GHEA Grapalat" w:hAnsi="GHEA Grapalat" w:cs="GHEA Grapalat"/>
          <w:b/>
          <w:sz w:val="24"/>
          <w:szCs w:val="24"/>
          <w:lang w:val="hy-AM"/>
        </w:rPr>
        <w:t>«</w:t>
      </w:r>
      <w:r w:rsidRPr="009D37FF">
        <w:rPr>
          <w:rFonts w:ascii="GHEA Grapalat" w:hAnsi="GHEA Grapalat" w:cs="GHEA Grapalat"/>
          <w:b/>
          <w:sz w:val="24"/>
          <w:szCs w:val="24"/>
          <w:lang w:val="af-ZA"/>
        </w:rPr>
        <w:t>ՀԱՅԱՍՏԱՆԻ ՀԱՆՐԱՊԵՏՈՒԹՅԱՆ ԿԱՌԱՎԱՐՈՒԹՅԱՆ 2013 ԹՎԱԿԱՆԻ ՄԱՅԻՍԻ 2-Ի N 502-Ն ՈՐՈՇՄԱՆ ՄԵՋ ՓՈՓՈԽՈՒԹՅՈՒՆ</w:t>
      </w:r>
      <w:r w:rsidRPr="009D37FF">
        <w:rPr>
          <w:rFonts w:ascii="GHEA Grapalat" w:hAnsi="GHEA Grapalat" w:cs="GHEA Grapalat"/>
          <w:b/>
          <w:sz w:val="24"/>
          <w:szCs w:val="24"/>
          <w:lang w:val="hy-AM"/>
        </w:rPr>
        <w:t xml:space="preserve"> ԿԱՏԱՐԵԼՈՒ</w:t>
      </w:r>
      <w:r w:rsidRPr="009D37FF">
        <w:rPr>
          <w:rFonts w:ascii="GHEA Grapalat" w:hAnsi="GHEA Grapalat" w:cs="GHEA Grapalat"/>
          <w:b/>
          <w:sz w:val="24"/>
          <w:szCs w:val="24"/>
          <w:lang w:val="af-ZA"/>
        </w:rPr>
        <w:t xml:space="preserve"> ՄԱՍԻՆ</w:t>
      </w:r>
      <w:r w:rsidRPr="009D37FF">
        <w:rPr>
          <w:rFonts w:ascii="GHEA Grapalat" w:hAnsi="GHEA Grapalat" w:cs="GHEA Grapalat"/>
          <w:b/>
          <w:sz w:val="24"/>
          <w:szCs w:val="24"/>
          <w:lang w:val="hy-AM"/>
        </w:rPr>
        <w:t>»</w:t>
      </w:r>
      <w:r w:rsidRPr="009D37FF">
        <w:rPr>
          <w:rFonts w:ascii="GHEA Grapalat" w:hAnsi="GHEA Grapalat" w:cs="GHEA Grapalat"/>
          <w:b/>
          <w:sz w:val="24"/>
          <w:szCs w:val="24"/>
          <w:lang w:val="af-ZA"/>
        </w:rPr>
        <w:t xml:space="preserve"> Հ</w:t>
      </w:r>
      <w:r w:rsidR="00522FE0" w:rsidRPr="009D37FF">
        <w:rPr>
          <w:rFonts w:ascii="GHEA Grapalat" w:hAnsi="GHEA Grapalat" w:cs="GHEA Grapalat"/>
          <w:b/>
          <w:sz w:val="24"/>
          <w:szCs w:val="24"/>
          <w:lang w:val="hy-AM"/>
        </w:rPr>
        <w:t xml:space="preserve">ԱՅԱՍՏԱՆԻ </w:t>
      </w:r>
      <w:r w:rsidRPr="009D37FF">
        <w:rPr>
          <w:rFonts w:ascii="GHEA Grapalat" w:hAnsi="GHEA Grapalat" w:cs="GHEA Grapalat"/>
          <w:b/>
          <w:sz w:val="24"/>
          <w:szCs w:val="24"/>
          <w:lang w:val="af-ZA"/>
        </w:rPr>
        <w:t>Հ</w:t>
      </w:r>
      <w:r w:rsidR="00522FE0" w:rsidRPr="009D37FF">
        <w:rPr>
          <w:rFonts w:ascii="GHEA Grapalat" w:hAnsi="GHEA Grapalat" w:cs="GHEA Grapalat"/>
          <w:b/>
          <w:sz w:val="24"/>
          <w:szCs w:val="24"/>
          <w:lang w:val="hy-AM"/>
        </w:rPr>
        <w:t>ԱՆՐԱՊԵՏՈՒԹՅԱՆ</w:t>
      </w:r>
      <w:r w:rsidRPr="009D37FF">
        <w:rPr>
          <w:rFonts w:ascii="GHEA Grapalat" w:hAnsi="GHEA Grapalat" w:cs="GHEA Grapalat"/>
          <w:b/>
          <w:sz w:val="24"/>
          <w:szCs w:val="24"/>
          <w:lang w:val="af-ZA"/>
        </w:rPr>
        <w:t xml:space="preserve"> ԿԱՌԱՎԱՐՈՒԹՅԱՆ ՈՐՈՇՄԱՆ ՆԱԽԱԳԾԻ ԸՆԴՈՒՆՄԱՆ</w:t>
      </w:r>
    </w:p>
    <w:p w:rsidR="002D4AFC" w:rsidRPr="009D37FF" w:rsidRDefault="002D4AFC" w:rsidP="002D4AFC">
      <w:pPr>
        <w:pStyle w:val="mechtex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2D4AFC" w:rsidRPr="009D37FF" w:rsidRDefault="002D4AFC" w:rsidP="002D4AFC">
      <w:pPr>
        <w:pStyle w:val="ListParagraph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D37FF">
        <w:rPr>
          <w:rFonts w:ascii="GHEA Grapalat" w:hAnsi="GHEA Grapalat" w:cs="Sylfaen"/>
          <w:b/>
          <w:sz w:val="24"/>
          <w:szCs w:val="24"/>
          <w:lang w:val="hy-AM"/>
        </w:rPr>
        <w:t>Իրավական ակտի ընդունման անհրաժեշտությունը (նպատակը)</w:t>
      </w:r>
    </w:p>
    <w:p w:rsidR="002D4AFC" w:rsidRPr="009D37FF" w:rsidRDefault="002D4AFC" w:rsidP="002D4AFC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OLE_LINK1"/>
      <w:r w:rsidRPr="009D37FF">
        <w:rPr>
          <w:rFonts w:ascii="GHEA Grapalat" w:hAnsi="GHEA Grapalat" w:cs="GHEA Grapalat"/>
          <w:sz w:val="24"/>
          <w:szCs w:val="24"/>
          <w:lang w:val="hy-AM"/>
        </w:rPr>
        <w:t xml:space="preserve">   </w:t>
      </w:r>
      <w:r w:rsidRPr="009D37FF">
        <w:rPr>
          <w:rFonts w:ascii="GHEA Grapalat" w:hAnsi="GHEA Grapalat" w:cs="GHEA Grapalat"/>
          <w:sz w:val="24"/>
          <w:szCs w:val="24"/>
          <w:lang w:val="af-ZA"/>
        </w:rPr>
        <w:t xml:space="preserve">Նախագծի ընդունումը պայմանավորված է </w:t>
      </w:r>
      <w:r w:rsidRPr="009D37FF">
        <w:rPr>
          <w:rFonts w:ascii="GHEA Grapalat" w:hAnsi="GHEA Grapalat" w:cs="GHEA Grapalat"/>
          <w:sz w:val="24"/>
          <w:szCs w:val="24"/>
          <w:lang w:val="hy-AM"/>
        </w:rPr>
        <w:t xml:space="preserve">Հայաստանի Հանրապետությունում պետական գրանցում չունեցող դեղերի պետական գնումների մասնակցության հնարավորության որոշակի սահմանափակման </w:t>
      </w:r>
      <w:bookmarkEnd w:id="0"/>
      <w:r w:rsidRPr="009D37FF">
        <w:rPr>
          <w:rFonts w:ascii="GHEA Grapalat" w:hAnsi="GHEA Grapalat"/>
          <w:sz w:val="24"/>
          <w:szCs w:val="24"/>
          <w:lang w:val="hy-AM"/>
        </w:rPr>
        <w:t xml:space="preserve">խնդրով: </w:t>
      </w:r>
    </w:p>
    <w:p w:rsidR="002D4AFC" w:rsidRPr="009D37FF" w:rsidRDefault="002D4AFC" w:rsidP="002D4AFC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2D4AFC" w:rsidRPr="009D37FF" w:rsidRDefault="002D4AFC" w:rsidP="002D4AFC">
      <w:pPr>
        <w:numPr>
          <w:ilvl w:val="0"/>
          <w:numId w:val="2"/>
        </w:numPr>
        <w:spacing w:line="360" w:lineRule="auto"/>
        <w:ind w:left="0" w:firstLine="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D37FF">
        <w:rPr>
          <w:rFonts w:ascii="GHEA Grapalat" w:hAnsi="GHEA Grapalat" w:cs="Sylfaen"/>
          <w:b/>
          <w:sz w:val="24"/>
          <w:szCs w:val="24"/>
          <w:lang w:val="hy-AM"/>
        </w:rPr>
        <w:t>Ընթացիկ իրավիճակը և խնդիրները.</w:t>
      </w:r>
    </w:p>
    <w:p w:rsidR="002D4AFC" w:rsidRPr="009D37FF" w:rsidRDefault="002D4AFC" w:rsidP="002D4AFC">
      <w:pPr>
        <w:spacing w:after="0" w:line="360" w:lineRule="auto"/>
        <w:ind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37FF">
        <w:rPr>
          <w:rFonts w:ascii="GHEA Grapalat" w:hAnsi="GHEA Grapalat" w:cs="Sylfaen"/>
          <w:sz w:val="24"/>
          <w:szCs w:val="24"/>
          <w:lang w:val="hy-AM"/>
        </w:rPr>
        <w:t xml:space="preserve">Համաձայն Հայաստանի Հանրապետության կառավարության 2013 թվականի մայիսի 2-ի «Հայաստանի Հանրապետության պետական բյուջեի և այլ միջոցների հաշվին գնվող դեղերի տեխնիկական բնութագրերի կազմման չափորոշիչները հաստատելու մասին» N 502-Ն որոշման` Առողջապահության նախարարության կարիքների համար </w:t>
      </w:r>
      <w:r w:rsidR="00A9041A" w:rsidRPr="009D37FF">
        <w:rPr>
          <w:rFonts w:ascii="GHEA Grapalat" w:hAnsi="GHEA Grapalat" w:cs="Sylfaen"/>
          <w:sz w:val="24"/>
          <w:szCs w:val="24"/>
          <w:lang w:val="hy-AM"/>
        </w:rPr>
        <w:t>մրցու</w:t>
      </w:r>
      <w:r w:rsidRPr="009D37FF">
        <w:rPr>
          <w:rFonts w:ascii="GHEA Grapalat" w:hAnsi="GHEA Grapalat" w:cs="Sylfaen"/>
          <w:sz w:val="24"/>
          <w:szCs w:val="24"/>
          <w:lang w:val="hy-AM"/>
        </w:rPr>
        <w:t>թային կարգով կարող են ձեռք բերվել նաև Հայաստանի Հանր</w:t>
      </w:r>
      <w:r w:rsidR="00CF4C30" w:rsidRPr="009D37FF">
        <w:rPr>
          <w:rFonts w:ascii="GHEA Grapalat" w:hAnsi="GHEA Grapalat" w:cs="Sylfaen"/>
          <w:sz w:val="24"/>
          <w:szCs w:val="24"/>
          <w:lang w:val="hy-AM"/>
        </w:rPr>
        <w:t>ապետությունում չգրանցված  դեղեր</w:t>
      </w:r>
      <w:r w:rsidR="001B48BD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3D7C1F" w:rsidRPr="009D37FF" w:rsidRDefault="002D4AFC" w:rsidP="003D7C1F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D37FF">
        <w:rPr>
          <w:rFonts w:ascii="GHEA Grapalat" w:hAnsi="GHEA Grapalat" w:cs="Sylfaen"/>
          <w:sz w:val="24"/>
          <w:szCs w:val="24"/>
          <w:lang w:val="hy-AM"/>
        </w:rPr>
        <w:t>Որոշման հավելվածի</w:t>
      </w:r>
      <w:r w:rsidRPr="009D37FF">
        <w:rPr>
          <w:rFonts w:ascii="GHEA Grapalat" w:hAnsi="GHEA Grapalat"/>
          <w:sz w:val="24"/>
          <w:szCs w:val="24"/>
          <w:lang w:val="hy-AM"/>
        </w:rPr>
        <w:t xml:space="preserve"> 2.2-րդ կետը փաստացի խոչընդոտ է հանդիսանում մրցույթի մասնակիցների համար</w:t>
      </w:r>
      <w:r w:rsidR="002B3125" w:rsidRPr="009D37FF">
        <w:rPr>
          <w:rFonts w:ascii="GHEA Grapalat" w:hAnsi="GHEA Grapalat"/>
          <w:sz w:val="24"/>
          <w:szCs w:val="24"/>
          <w:lang w:val="hy-AM"/>
        </w:rPr>
        <w:t xml:space="preserve">, վերջիններս </w:t>
      </w:r>
      <w:r w:rsidRPr="009D37FF">
        <w:rPr>
          <w:rFonts w:ascii="GHEA Grapalat" w:hAnsi="GHEA Grapalat"/>
          <w:sz w:val="24"/>
          <w:szCs w:val="24"/>
          <w:lang w:val="hy-AM"/>
        </w:rPr>
        <w:t xml:space="preserve">գնային առաջարկ ներկայացնելիս կարողանում են ապահովել </w:t>
      </w:r>
      <w:r w:rsidRPr="009D37FF">
        <w:rPr>
          <w:rFonts w:ascii="GHEA Grapalat" w:hAnsi="GHEA Grapalat" w:cs="Sylfaen"/>
          <w:sz w:val="24"/>
          <w:szCs w:val="24"/>
          <w:lang w:val="hy-AM"/>
        </w:rPr>
        <w:t>Որոշման հավելվածի</w:t>
      </w:r>
      <w:r w:rsidRPr="009D37FF">
        <w:rPr>
          <w:rFonts w:ascii="GHEA Grapalat" w:hAnsi="GHEA Grapalat"/>
          <w:sz w:val="24"/>
          <w:szCs w:val="24"/>
          <w:lang w:val="hy-AM"/>
        </w:rPr>
        <w:t xml:space="preserve"> 2.1 կետով սա</w:t>
      </w:r>
      <w:r w:rsidR="002B3125" w:rsidRPr="009D37FF">
        <w:rPr>
          <w:rFonts w:ascii="GHEA Grapalat" w:hAnsi="GHEA Grapalat"/>
          <w:sz w:val="24"/>
          <w:szCs w:val="24"/>
          <w:lang w:val="hy-AM"/>
        </w:rPr>
        <w:t xml:space="preserve">հմանված պահանջը, սակայն </w:t>
      </w:r>
      <w:r w:rsidR="003D7C1F" w:rsidRPr="009D37FF">
        <w:rPr>
          <w:rFonts w:ascii="GHEA Grapalat" w:hAnsi="GHEA Grapalat"/>
          <w:sz w:val="24"/>
          <w:szCs w:val="24"/>
          <w:lang w:val="hy-AM"/>
        </w:rPr>
        <w:t xml:space="preserve">մրցույթի արդյունքում առաջին տեղը զբաղեցրած մատակարարի համար դժվարություններ է առաջացնում </w:t>
      </w:r>
      <w:r w:rsidR="003D7C1F" w:rsidRPr="009D37FF">
        <w:rPr>
          <w:rFonts w:ascii="GHEA Grapalat" w:hAnsi="GHEA Grapalat" w:cs="Sylfaen"/>
          <w:sz w:val="24"/>
          <w:szCs w:val="24"/>
          <w:lang w:val="hy-AM"/>
        </w:rPr>
        <w:t>Որոշման հավելվածի</w:t>
      </w:r>
      <w:r w:rsidR="003D7C1F" w:rsidRPr="009D37FF">
        <w:rPr>
          <w:rFonts w:ascii="GHEA Grapalat" w:hAnsi="GHEA Grapalat"/>
          <w:sz w:val="24"/>
          <w:szCs w:val="24"/>
          <w:lang w:val="hy-AM"/>
        </w:rPr>
        <w:t xml:space="preserve"> 2.2-րդ կետով նախատեսված պահանջի կատարումը</w:t>
      </w:r>
      <w:r w:rsidR="002B3125" w:rsidRPr="009D37FF">
        <w:rPr>
          <w:rFonts w:ascii="GHEA Grapalat" w:hAnsi="GHEA Grapalat"/>
          <w:sz w:val="24"/>
          <w:szCs w:val="24"/>
          <w:lang w:val="hy-AM"/>
        </w:rPr>
        <w:t>:</w:t>
      </w:r>
      <w:r w:rsidRPr="009D37F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D7C1F" w:rsidRPr="009D37FF" w:rsidRDefault="002B3125" w:rsidP="002D4AFC">
      <w:pPr>
        <w:spacing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D37FF">
        <w:rPr>
          <w:rFonts w:ascii="GHEA Grapalat" w:hAnsi="GHEA Grapalat"/>
          <w:sz w:val="24"/>
          <w:szCs w:val="24"/>
          <w:lang w:val="hy-AM"/>
        </w:rPr>
        <w:t xml:space="preserve">Միաժամանակ </w:t>
      </w:r>
      <w:r w:rsidR="002D4AFC" w:rsidRPr="009D37FF">
        <w:rPr>
          <w:rFonts w:ascii="GHEA Grapalat" w:hAnsi="GHEA Grapalat"/>
          <w:sz w:val="24"/>
          <w:szCs w:val="24"/>
          <w:lang w:val="hy-AM"/>
        </w:rPr>
        <w:t>Ա</w:t>
      </w:r>
      <w:r w:rsidR="003D7C1F" w:rsidRPr="009D37FF">
        <w:rPr>
          <w:rFonts w:ascii="GHEA Grapalat" w:hAnsi="GHEA Grapalat"/>
          <w:sz w:val="24"/>
          <w:szCs w:val="24"/>
          <w:lang w:val="hy-AM"/>
        </w:rPr>
        <w:t>ռողջապահության նախարությունն իր հերթին</w:t>
      </w:r>
      <w:r w:rsidR="002D4AFC" w:rsidRPr="009D37FF">
        <w:rPr>
          <w:rFonts w:ascii="GHEA Grapalat" w:hAnsi="GHEA Grapalat"/>
          <w:sz w:val="24"/>
          <w:szCs w:val="24"/>
          <w:lang w:val="hy-AM"/>
        </w:rPr>
        <w:t xml:space="preserve"> հնարավորություն ունի օգտվելու այլ երկ</w:t>
      </w:r>
      <w:r w:rsidRPr="009D37FF">
        <w:rPr>
          <w:rFonts w:ascii="GHEA Grapalat" w:hAnsi="GHEA Grapalat"/>
          <w:sz w:val="24"/>
          <w:szCs w:val="24"/>
          <w:lang w:val="hy-AM"/>
        </w:rPr>
        <w:t>ր</w:t>
      </w:r>
      <w:r w:rsidR="002D4AFC" w:rsidRPr="009D37FF">
        <w:rPr>
          <w:rFonts w:ascii="GHEA Grapalat" w:hAnsi="GHEA Grapalat"/>
          <w:sz w:val="24"/>
          <w:szCs w:val="24"/>
          <w:lang w:val="hy-AM"/>
        </w:rPr>
        <w:t>ների դեղերի ոլորտը համակարգող գործակալությունների կ</w:t>
      </w:r>
      <w:r w:rsidR="003D7C1F" w:rsidRPr="009D37FF">
        <w:rPr>
          <w:rFonts w:ascii="GHEA Grapalat" w:hAnsi="GHEA Grapalat"/>
          <w:sz w:val="24"/>
          <w:szCs w:val="24"/>
          <w:lang w:val="hy-AM"/>
        </w:rPr>
        <w:t xml:space="preserve">այքից` ապահովելով մասնակիցների </w:t>
      </w:r>
      <w:r w:rsidR="002D4AFC" w:rsidRPr="009D37FF">
        <w:rPr>
          <w:rFonts w:ascii="GHEA Grapalat" w:hAnsi="GHEA Grapalat"/>
          <w:sz w:val="24"/>
          <w:szCs w:val="24"/>
          <w:lang w:val="hy-AM"/>
        </w:rPr>
        <w:t xml:space="preserve">կողմից ներկայացված  փաստաթղթերի հավաստիությունը: </w:t>
      </w:r>
    </w:p>
    <w:p w:rsidR="003D7C1F" w:rsidRPr="009D37FF" w:rsidRDefault="002D4AFC" w:rsidP="003D7C1F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D37FF">
        <w:rPr>
          <w:rFonts w:ascii="GHEA Grapalat" w:hAnsi="GHEA Grapalat"/>
          <w:sz w:val="24"/>
          <w:szCs w:val="24"/>
          <w:lang w:val="hy-AM"/>
        </w:rPr>
        <w:lastRenderedPageBreak/>
        <w:t>2017 թվականին վերոնշյալ որոշման փոփոխության արդյու</w:t>
      </w:r>
      <w:r w:rsidR="00A9041A" w:rsidRPr="009D37FF">
        <w:rPr>
          <w:rFonts w:ascii="GHEA Grapalat" w:hAnsi="GHEA Grapalat"/>
          <w:sz w:val="24"/>
          <w:szCs w:val="24"/>
          <w:lang w:val="hy-AM"/>
        </w:rPr>
        <w:t>ն</w:t>
      </w:r>
      <w:r w:rsidRPr="009D37FF">
        <w:rPr>
          <w:rFonts w:ascii="GHEA Grapalat" w:hAnsi="GHEA Grapalat"/>
          <w:sz w:val="24"/>
          <w:szCs w:val="24"/>
          <w:lang w:val="hy-AM"/>
        </w:rPr>
        <w:t xml:space="preserve">քում, </w:t>
      </w:r>
      <w:r w:rsidR="002B3125" w:rsidRPr="009D37FF">
        <w:rPr>
          <w:rFonts w:ascii="GHEA Grapalat" w:hAnsi="GHEA Grapalat"/>
          <w:sz w:val="24"/>
          <w:szCs w:val="24"/>
          <w:lang w:val="hy-AM"/>
        </w:rPr>
        <w:t>Հայաստանի Հանրապետությունում</w:t>
      </w:r>
      <w:r w:rsidRPr="009D37FF">
        <w:rPr>
          <w:rFonts w:ascii="GHEA Grapalat" w:hAnsi="GHEA Grapalat"/>
          <w:sz w:val="24"/>
          <w:szCs w:val="24"/>
          <w:lang w:val="hy-AM"/>
        </w:rPr>
        <w:t xml:space="preserve"> չգրանցված դեղ</w:t>
      </w:r>
      <w:r w:rsidR="003D7C1F" w:rsidRPr="009D37FF">
        <w:rPr>
          <w:rFonts w:ascii="GHEA Grapalat" w:hAnsi="GHEA Grapalat"/>
          <w:sz w:val="24"/>
          <w:szCs w:val="24"/>
          <w:lang w:val="hy-AM"/>
        </w:rPr>
        <w:t>երով մրցույթին մասնակցել ցանկացողները</w:t>
      </w:r>
      <w:r w:rsidRPr="009D37FF">
        <w:rPr>
          <w:rFonts w:ascii="GHEA Grapalat" w:hAnsi="GHEA Grapalat"/>
          <w:sz w:val="24"/>
          <w:szCs w:val="24"/>
          <w:lang w:val="hy-AM"/>
        </w:rPr>
        <w:t xml:space="preserve">, </w:t>
      </w:r>
      <w:r w:rsidR="003D7C1F" w:rsidRPr="009D37FF">
        <w:rPr>
          <w:rFonts w:ascii="GHEA Grapalat" w:hAnsi="GHEA Grapalat"/>
          <w:sz w:val="24"/>
          <w:szCs w:val="24"/>
          <w:lang w:val="hy-AM"/>
        </w:rPr>
        <w:t xml:space="preserve">հիմնավորել են, </w:t>
      </w:r>
      <w:r w:rsidRPr="009D37FF">
        <w:rPr>
          <w:rFonts w:ascii="GHEA Grapalat" w:hAnsi="GHEA Grapalat"/>
          <w:sz w:val="24"/>
          <w:szCs w:val="24"/>
          <w:lang w:val="hy-AM"/>
        </w:rPr>
        <w:t xml:space="preserve">որ անհնար է ապահովել 2.2 կետով սահմանաված պահանջը, քանի որ դեղերը կարող են ներկվել ոչ միայն արտադրող ընկերության կողմից, այլ նաև միջնորդ ընկերությունների  կողմից, որոնք չեն կարող ապահովել փաստաթղթերի (դոսյեի) ներկայացնում: </w:t>
      </w:r>
      <w:r w:rsidR="002B3125" w:rsidRPr="009D37FF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</w:t>
      </w:r>
      <w:r w:rsidRPr="009D37FF">
        <w:rPr>
          <w:rFonts w:ascii="GHEA Grapalat" w:hAnsi="GHEA Grapalat"/>
          <w:sz w:val="24"/>
          <w:szCs w:val="24"/>
          <w:lang w:val="hy-AM"/>
        </w:rPr>
        <w:t>դեղերը կարող ե</w:t>
      </w:r>
      <w:r w:rsidR="00A9041A" w:rsidRPr="009D37FF">
        <w:rPr>
          <w:rFonts w:ascii="GHEA Grapalat" w:hAnsi="GHEA Grapalat"/>
          <w:sz w:val="24"/>
          <w:szCs w:val="24"/>
          <w:lang w:val="hy-AM"/>
        </w:rPr>
        <w:t>ն գրանցվել միայն օրենքով սահմանված փաստաթղթերի փաթեթի առկայ</w:t>
      </w:r>
      <w:r w:rsidRPr="009D37FF">
        <w:rPr>
          <w:rFonts w:ascii="GHEA Grapalat" w:hAnsi="GHEA Grapalat"/>
          <w:sz w:val="24"/>
          <w:szCs w:val="24"/>
          <w:lang w:val="hy-AM"/>
        </w:rPr>
        <w:t>ության դեպքում` բացառապես դեղերը արտադրողի կամ իր կողմից պատշաճ լիազորություններ ստացած անձի կողմից: Նշված հանգամանքը լուրջ խոչընդոտ է հանդիսանում կենսա</w:t>
      </w:r>
      <w:r w:rsidR="003D7C1F" w:rsidRPr="009D37FF">
        <w:rPr>
          <w:rFonts w:ascii="GHEA Grapalat" w:hAnsi="GHEA Grapalat"/>
          <w:sz w:val="24"/>
          <w:szCs w:val="24"/>
          <w:lang w:val="hy-AM"/>
        </w:rPr>
        <w:t>կանորեն անհրաժեշտ, սակայն ցածր պահանաջարկ ունեցող դեղերի</w:t>
      </w:r>
      <w:r w:rsidRPr="009D37FF">
        <w:rPr>
          <w:rFonts w:ascii="GHEA Grapalat" w:hAnsi="GHEA Grapalat"/>
          <w:sz w:val="24"/>
          <w:szCs w:val="24"/>
          <w:lang w:val="hy-AM"/>
        </w:rPr>
        <w:t xml:space="preserve"> ֆիզիկական հասանելիության և հիվանդներին պատշաճ մակարդակով բժ</w:t>
      </w:r>
      <w:r w:rsidR="003D7C1F" w:rsidRPr="009D37FF">
        <w:rPr>
          <w:rFonts w:ascii="GHEA Grapalat" w:hAnsi="GHEA Grapalat"/>
          <w:sz w:val="24"/>
          <w:szCs w:val="24"/>
          <w:lang w:val="hy-AM"/>
        </w:rPr>
        <w:t>շկական օգնություն և սպասարկում իրականացնելու</w:t>
      </w:r>
      <w:r w:rsidRPr="009D37FF">
        <w:rPr>
          <w:rFonts w:ascii="GHEA Grapalat" w:hAnsi="GHEA Grapalat"/>
          <w:sz w:val="24"/>
          <w:szCs w:val="24"/>
          <w:lang w:val="hy-AM"/>
        </w:rPr>
        <w:t xml:space="preserve"> հարցում: Հայաստանի Հանրապետությունը հանդիսանում է խոշոր դեղարտադրող ընկերությունների համար փոքր շուկա,</w:t>
      </w:r>
      <w:r w:rsidR="003D7C1F" w:rsidRPr="009D37FF">
        <w:rPr>
          <w:rFonts w:ascii="GHEA Grapalat" w:hAnsi="GHEA Grapalat"/>
          <w:sz w:val="24"/>
          <w:szCs w:val="24"/>
          <w:lang w:val="hy-AM"/>
        </w:rPr>
        <w:t xml:space="preserve"> ինչի</w:t>
      </w:r>
      <w:r w:rsidRPr="009D37FF">
        <w:rPr>
          <w:rFonts w:ascii="GHEA Grapalat" w:hAnsi="GHEA Grapalat"/>
          <w:sz w:val="24"/>
          <w:szCs w:val="24"/>
          <w:lang w:val="hy-AM"/>
        </w:rPr>
        <w:t xml:space="preserve"> արդյուքում կենսականորեն անհրաժեշտ, սակայն ցածր  պահանաջարկ ունեցող դեղերը չեն գրանցվում </w:t>
      </w:r>
      <w:r w:rsidR="002B3125" w:rsidRPr="009D37FF">
        <w:rPr>
          <w:rFonts w:ascii="GHEA Grapalat" w:hAnsi="GHEA Grapalat"/>
          <w:sz w:val="24"/>
          <w:szCs w:val="24"/>
          <w:lang w:val="hy-AM"/>
        </w:rPr>
        <w:t>Հայաստանի Հանրապետությունում</w:t>
      </w:r>
      <w:r w:rsidRPr="009D37FF">
        <w:rPr>
          <w:rFonts w:ascii="GHEA Grapalat" w:hAnsi="GHEA Grapalat"/>
          <w:sz w:val="24"/>
          <w:szCs w:val="24"/>
          <w:lang w:val="hy-AM"/>
        </w:rPr>
        <w:t xml:space="preserve">` մարկետինգային նկատառումներից ելնելով, սակայն առկա են բազմաթիվ դեղեր, որոնք ընդգրկված են բուժական սխեմաներում և </w:t>
      </w:r>
      <w:r w:rsidR="003D7C1F" w:rsidRPr="009D37FF">
        <w:rPr>
          <w:rFonts w:ascii="GHEA Grapalat" w:hAnsi="GHEA Grapalat"/>
          <w:sz w:val="24"/>
          <w:szCs w:val="24"/>
          <w:lang w:val="hy-AM"/>
        </w:rPr>
        <w:t xml:space="preserve">պարտադիր են օգտագործման համար: </w:t>
      </w:r>
    </w:p>
    <w:p w:rsidR="002D4AFC" w:rsidRPr="009D37FF" w:rsidRDefault="003D7C1F" w:rsidP="003D7C1F">
      <w:pPr>
        <w:spacing w:after="0" w:line="360" w:lineRule="auto"/>
        <w:ind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9D37FF">
        <w:rPr>
          <w:rFonts w:ascii="GHEA Grapalat" w:hAnsi="GHEA Grapalat"/>
          <w:sz w:val="24"/>
          <w:szCs w:val="24"/>
          <w:lang w:val="hy-AM"/>
        </w:rPr>
        <w:t>Դեղերի ֆիզիկական և</w:t>
      </w:r>
      <w:r w:rsidR="00A9041A" w:rsidRPr="009D37FF">
        <w:rPr>
          <w:rFonts w:ascii="GHEA Grapalat" w:hAnsi="GHEA Grapalat"/>
          <w:sz w:val="24"/>
          <w:szCs w:val="24"/>
          <w:lang w:val="hy-AM"/>
        </w:rPr>
        <w:t xml:space="preserve"> տնտեսական մատչելիութունն</w:t>
      </w:r>
      <w:r w:rsidR="002D4AFC" w:rsidRPr="009D37FF">
        <w:rPr>
          <w:rFonts w:ascii="GHEA Grapalat" w:hAnsi="GHEA Grapalat"/>
          <w:sz w:val="24"/>
          <w:szCs w:val="24"/>
          <w:lang w:val="hy-AM"/>
        </w:rPr>
        <w:t xml:space="preserve"> ապահովելու նպատակով, «Դեղերի մասին» ՀՀ օրենքի 21-րդ հոդվածի, 6-</w:t>
      </w:r>
      <w:r w:rsidRPr="009D37FF">
        <w:rPr>
          <w:rFonts w:ascii="GHEA Grapalat" w:hAnsi="GHEA Grapalat"/>
          <w:sz w:val="24"/>
          <w:szCs w:val="24"/>
          <w:lang w:val="hy-AM"/>
        </w:rPr>
        <w:t xml:space="preserve">րդ կետի, 4-րդ ենթակետի համաձայն` </w:t>
      </w:r>
      <w:r w:rsidR="002B3125" w:rsidRPr="009D37FF">
        <w:rPr>
          <w:rFonts w:ascii="GHEA Grapalat" w:hAnsi="GHEA Grapalat"/>
          <w:sz w:val="24"/>
          <w:szCs w:val="24"/>
          <w:lang w:val="hy-AM"/>
        </w:rPr>
        <w:t>Հայաստանի Հանրապետություն</w:t>
      </w:r>
      <w:r w:rsidR="002D4AFC" w:rsidRPr="009D37FF">
        <w:rPr>
          <w:rFonts w:ascii="GHEA Grapalat" w:hAnsi="GHEA Grapalat"/>
          <w:sz w:val="24"/>
          <w:szCs w:val="24"/>
          <w:lang w:val="hy-AM"/>
        </w:rPr>
        <w:t xml:space="preserve"> կարող են ներմուծվել չգրանցված դեղեր` պետության կարիքների կամ առանձին հիվանդների համար բժշկական օգնություն և սպասարկում իրականացնելու նպատակով, որոնք բացառապես նախատեսված են անվճար տրամադրելու համար:</w:t>
      </w:r>
      <w:r w:rsidR="002D4AFC" w:rsidRPr="009D37F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2D4AFC" w:rsidRPr="009D37FF" w:rsidRDefault="002D4AFC" w:rsidP="002D4AFC">
      <w:pPr>
        <w:spacing w:line="360" w:lineRule="auto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</w:pPr>
      <w:r w:rsidRPr="009D37F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 </w:t>
      </w:r>
      <w:r w:rsidRPr="009D37F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Այսպիսով</w:t>
      </w:r>
      <w:r w:rsidR="00522FE0" w:rsidRPr="009D37F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,</w:t>
      </w:r>
      <w:r w:rsidRPr="009D37F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հիմք ընդունելով</w:t>
      </w:r>
      <w:r w:rsidRPr="009D37F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9D37FF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2013 թվականի մայիսի 2-ի «Հայաստանի Հանրապետության պետական բյուջեի և այլ միջոցների հաշվին գնվող դեղերի տեխնիկական բնութագրերի կազմման չափորոշիչները հաստատելու մասին» N 502-Ն</w:t>
      </w:r>
      <w:r w:rsidR="003D7C1F" w:rsidRPr="009D37FF">
        <w:rPr>
          <w:rFonts w:ascii="GHEA Grapalat" w:hAnsi="GHEA Grapalat" w:cs="Sylfaen"/>
          <w:sz w:val="24"/>
          <w:szCs w:val="24"/>
          <w:lang w:val="hy-AM"/>
        </w:rPr>
        <w:t xml:space="preserve"> որոշմանբ սահմանաված պահանջներ</w:t>
      </w:r>
      <w:r w:rsidR="00522FE0" w:rsidRPr="009D37FF">
        <w:rPr>
          <w:rFonts w:ascii="GHEA Grapalat" w:hAnsi="GHEA Grapalat" w:cs="Sylfaen"/>
          <w:sz w:val="24"/>
          <w:szCs w:val="24"/>
          <w:lang w:val="hy-AM"/>
        </w:rPr>
        <w:t>ը</w:t>
      </w:r>
      <w:r w:rsidR="003D7C1F" w:rsidRPr="009D37FF">
        <w:rPr>
          <w:rFonts w:ascii="GHEA Grapalat" w:hAnsi="GHEA Grapalat" w:cs="Sylfaen"/>
          <w:sz w:val="24"/>
          <w:szCs w:val="24"/>
          <w:lang w:val="hy-AM"/>
        </w:rPr>
        <w:t>`</w:t>
      </w:r>
      <w:r w:rsidRPr="009D37FF">
        <w:rPr>
          <w:rFonts w:ascii="GHEA Grapalat" w:hAnsi="GHEA Grapalat" w:cs="Sylfaen"/>
          <w:sz w:val="24"/>
          <w:szCs w:val="24"/>
          <w:lang w:val="hy-AM"/>
        </w:rPr>
        <w:t xml:space="preserve"> մատակարա</w:t>
      </w:r>
      <w:r w:rsidR="00522FE0" w:rsidRPr="009D37FF">
        <w:rPr>
          <w:rFonts w:ascii="GHEA Grapalat" w:hAnsi="GHEA Grapalat" w:cs="Sylfaen"/>
          <w:sz w:val="24"/>
          <w:szCs w:val="24"/>
          <w:lang w:val="hy-AM"/>
        </w:rPr>
        <w:t>ր</w:t>
      </w:r>
      <w:r w:rsidRPr="009D37FF">
        <w:rPr>
          <w:rFonts w:ascii="GHEA Grapalat" w:hAnsi="GHEA Grapalat" w:cs="Sylfaen"/>
          <w:sz w:val="24"/>
          <w:szCs w:val="24"/>
          <w:lang w:val="hy-AM"/>
        </w:rPr>
        <w:t>ների շրջանակը ընդլայնե</w:t>
      </w:r>
      <w:r w:rsidR="00522FE0" w:rsidRPr="009D37FF">
        <w:rPr>
          <w:rFonts w:ascii="GHEA Grapalat" w:hAnsi="GHEA Grapalat" w:cs="Sylfaen"/>
          <w:sz w:val="24"/>
          <w:szCs w:val="24"/>
          <w:lang w:val="hy-AM"/>
        </w:rPr>
        <w:t>լու նպատակով հնարավորություն է ստեղծվել մրցույթի</w:t>
      </w:r>
      <w:r w:rsidRPr="009D37FF">
        <w:rPr>
          <w:rFonts w:ascii="GHEA Grapalat" w:hAnsi="GHEA Grapalat" w:cs="Sylfaen"/>
          <w:sz w:val="24"/>
          <w:szCs w:val="24"/>
          <w:lang w:val="hy-AM"/>
        </w:rPr>
        <w:t xml:space="preserve"> մասն</w:t>
      </w:r>
      <w:r w:rsidR="003D7C1F" w:rsidRPr="009D37FF">
        <w:rPr>
          <w:rFonts w:ascii="GHEA Grapalat" w:hAnsi="GHEA Grapalat" w:cs="Sylfaen"/>
          <w:sz w:val="24"/>
          <w:szCs w:val="24"/>
          <w:lang w:val="hy-AM"/>
        </w:rPr>
        <w:t>ակցության հայտ ներկայացնել</w:t>
      </w:r>
      <w:r w:rsidRPr="009D37FF">
        <w:rPr>
          <w:rFonts w:ascii="GHEA Grapalat" w:hAnsi="GHEA Grapalat" w:cs="Sylfaen"/>
          <w:sz w:val="24"/>
          <w:szCs w:val="24"/>
          <w:lang w:val="hy-AM"/>
        </w:rPr>
        <w:t xml:space="preserve"> նաև չգրացված դեղերի մասո</w:t>
      </w:r>
      <w:r w:rsidR="00522FE0" w:rsidRPr="009D37FF">
        <w:rPr>
          <w:rFonts w:ascii="GHEA Grapalat" w:hAnsi="GHEA Grapalat" w:cs="Sylfaen"/>
          <w:sz w:val="24"/>
          <w:szCs w:val="24"/>
          <w:lang w:val="hy-AM"/>
        </w:rPr>
        <w:t xml:space="preserve">վ, սակայն, </w:t>
      </w:r>
      <w:r w:rsidR="00522FE0" w:rsidRPr="009D37FF">
        <w:rPr>
          <w:rFonts w:ascii="GHEA Grapalat" w:hAnsi="GHEA Grapalat" w:cs="Sylfaen"/>
          <w:sz w:val="24"/>
          <w:szCs w:val="24"/>
          <w:lang w:val="hy-AM"/>
        </w:rPr>
        <w:lastRenderedPageBreak/>
        <w:t>մյուս կողմից, նույն Ո</w:t>
      </w:r>
      <w:r w:rsidRPr="009D37FF">
        <w:rPr>
          <w:rFonts w:ascii="GHEA Grapalat" w:hAnsi="GHEA Grapalat" w:cs="Sylfaen"/>
          <w:sz w:val="24"/>
          <w:szCs w:val="24"/>
          <w:lang w:val="hy-AM"/>
        </w:rPr>
        <w:t>րոշման</w:t>
      </w:r>
      <w:r w:rsidR="00522FE0" w:rsidRPr="009D37FF">
        <w:rPr>
          <w:rFonts w:ascii="GHEA Grapalat" w:hAnsi="GHEA Grapalat" w:cs="Sylfaen"/>
          <w:sz w:val="24"/>
          <w:szCs w:val="24"/>
          <w:lang w:val="hy-AM"/>
        </w:rPr>
        <w:t xml:space="preserve"> հավելվածի</w:t>
      </w:r>
      <w:r w:rsidRPr="009D37FF">
        <w:rPr>
          <w:rFonts w:ascii="GHEA Grapalat" w:hAnsi="GHEA Grapalat" w:cs="Sylfaen"/>
          <w:sz w:val="24"/>
          <w:szCs w:val="24"/>
          <w:lang w:val="hy-AM"/>
        </w:rPr>
        <w:t xml:space="preserve"> 2.2 կետը սահմանափակում և խոչընդոտում է </w:t>
      </w:r>
      <w:r w:rsidR="003D7C1F" w:rsidRPr="009D37FF">
        <w:rPr>
          <w:rFonts w:ascii="GHEA Grapalat" w:hAnsi="GHEA Grapalat" w:cs="Sylfaen"/>
          <w:sz w:val="24"/>
          <w:szCs w:val="24"/>
          <w:lang w:val="hy-AM"/>
        </w:rPr>
        <w:t>մատակարարների</w:t>
      </w:r>
      <w:r w:rsidRPr="009D37FF">
        <w:rPr>
          <w:rFonts w:ascii="GHEA Grapalat" w:hAnsi="GHEA Grapalat" w:cs="Sylfaen"/>
          <w:sz w:val="24"/>
          <w:szCs w:val="24"/>
          <w:lang w:val="hy-AM"/>
        </w:rPr>
        <w:t xml:space="preserve"> մասնակցությունը, որը </w:t>
      </w:r>
      <w:r w:rsidR="003D7C1F" w:rsidRPr="009D37FF">
        <w:rPr>
          <w:rFonts w:ascii="GHEA Grapalat" w:hAnsi="GHEA Grapalat" w:cs="Sylfaen"/>
          <w:sz w:val="24"/>
          <w:szCs w:val="24"/>
          <w:lang w:val="hy-AM"/>
        </w:rPr>
        <w:t>Առողջապահության նախարարության</w:t>
      </w:r>
      <w:r w:rsidRPr="009D37FF">
        <w:rPr>
          <w:rFonts w:ascii="GHEA Grapalat" w:hAnsi="GHEA Grapalat" w:cs="Sylfaen"/>
          <w:sz w:val="24"/>
          <w:szCs w:val="24"/>
          <w:lang w:val="hy-AM"/>
        </w:rPr>
        <w:t xml:space="preserve"> կարիքների բավարարման համար անարդյունավետ է:</w:t>
      </w:r>
      <w:r w:rsidRPr="009D37FF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2D4AFC" w:rsidRPr="009D37FF" w:rsidRDefault="002D4AFC" w:rsidP="002D4AFC">
      <w:pPr>
        <w:tabs>
          <w:tab w:val="left" w:pos="720"/>
          <w:tab w:val="left" w:pos="1080"/>
        </w:tabs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D37FF">
        <w:rPr>
          <w:rFonts w:ascii="GHEA Grapalat" w:hAnsi="GHEA Grapalat"/>
          <w:b/>
          <w:sz w:val="24"/>
          <w:szCs w:val="24"/>
          <w:lang w:val="hy-AM"/>
        </w:rPr>
        <w:t>3. Կարգավորման նպատակը և բնույթը.</w:t>
      </w:r>
    </w:p>
    <w:p w:rsidR="00522FE0" w:rsidRPr="009D37FF" w:rsidRDefault="00522FE0" w:rsidP="002D4AFC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37FF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Հաշվի առնելով վերոգրյալը և 2017-2018 թվականների գնման ընթացակարգերի իրականացման ընթացքում առաջացած խնդիրը, սույն որոշման նախագծով առաջարկվում է մրցույթին մասնակցության սահմանափակումը վերացնելու և դեղապահովումը պատշաճ իրականացնելու համար </w:t>
      </w:r>
      <w:r w:rsidRPr="009D37FF">
        <w:rPr>
          <w:rFonts w:ascii="GHEA Grapalat" w:hAnsi="GHEA Grapalat" w:cs="Sylfaen"/>
          <w:sz w:val="24"/>
          <w:szCs w:val="24"/>
          <w:lang w:val="hy-AM"/>
        </w:rPr>
        <w:t xml:space="preserve">Հայաստանի Հանրապետության կառավարության 2013 թվականի մայիսի 2-ի «Հայաստանի Հանրապետության պետական բյուջեի և այլ միջոցների հաշվին գնվող դեղերի տեխնիկական բնութագրերի կազմման չափորոշիչները հաստատելու մասին» N 502-Ն որոշման </w:t>
      </w:r>
      <w:r w:rsidR="00C778CE" w:rsidRPr="00C778CE">
        <w:rPr>
          <w:rFonts w:ascii="GHEA Grapalat" w:hAnsi="GHEA Grapalat" w:cs="Sylfaen"/>
          <w:sz w:val="24"/>
          <w:szCs w:val="24"/>
          <w:lang w:val="hy-AM"/>
        </w:rPr>
        <w:t xml:space="preserve">2.1 </w:t>
      </w:r>
      <w:r w:rsidR="00C778CE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Pr="009D37FF">
        <w:rPr>
          <w:rFonts w:ascii="GHEA Grapalat" w:hAnsi="GHEA Grapalat" w:cs="Sylfaen"/>
          <w:sz w:val="24"/>
          <w:szCs w:val="24"/>
          <w:lang w:val="hy-AM"/>
        </w:rPr>
        <w:t xml:space="preserve">2.2 </w:t>
      </w:r>
      <w:r w:rsidR="001B48BD">
        <w:rPr>
          <w:rFonts w:ascii="GHEA Grapalat" w:hAnsi="GHEA Grapalat" w:cs="Sylfaen"/>
          <w:sz w:val="24"/>
          <w:szCs w:val="24"/>
          <w:lang w:val="hy-AM"/>
        </w:rPr>
        <w:t>շարադրել նոր խմբագրությամբ</w:t>
      </w:r>
      <w:r w:rsidRPr="009D37F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D4AFC" w:rsidRPr="009D37FF" w:rsidRDefault="002D4AFC" w:rsidP="002D4AFC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D37FF">
        <w:rPr>
          <w:rFonts w:ascii="GHEA Grapalat" w:hAnsi="GHEA Grapalat"/>
          <w:b/>
          <w:sz w:val="24"/>
          <w:szCs w:val="24"/>
          <w:lang w:val="hy-AM"/>
        </w:rPr>
        <w:t>4. Նախագծի մշակման գործընթացում ներգրավված ինստիտուտները և անձինք.</w:t>
      </w:r>
    </w:p>
    <w:p w:rsidR="002D4AFC" w:rsidRPr="009D37FF" w:rsidRDefault="002D4AFC" w:rsidP="002D4AFC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9D37FF">
        <w:rPr>
          <w:rFonts w:ascii="GHEA Grapalat" w:hAnsi="GHEA Grapalat"/>
          <w:sz w:val="24"/>
          <w:szCs w:val="24"/>
          <w:lang w:val="hy-AM"/>
        </w:rPr>
        <w:t>Իրավական ակտի նախագիծը մշակվել է Առողջապահության նախարարության դեղորայքային քաղաքականության և բժշկական տեխնոլոգիաների և իրավաբանական վարչությունների կողմից:</w:t>
      </w:r>
    </w:p>
    <w:p w:rsidR="002D4AFC" w:rsidRPr="009D37FF" w:rsidRDefault="002D4AFC" w:rsidP="002D4AFC">
      <w:pPr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9D37FF">
        <w:rPr>
          <w:rFonts w:ascii="GHEA Grapalat" w:hAnsi="GHEA Grapalat" w:cs="Sylfaen"/>
          <w:b/>
          <w:sz w:val="24"/>
          <w:szCs w:val="24"/>
          <w:lang w:val="hy-AM"/>
        </w:rPr>
        <w:t>5. Ակնկալվող</w:t>
      </w:r>
      <w:r w:rsidRPr="009D37FF">
        <w:rPr>
          <w:rFonts w:ascii="GHEA Grapalat" w:hAnsi="GHEA Grapalat"/>
          <w:b/>
          <w:sz w:val="24"/>
          <w:szCs w:val="24"/>
          <w:lang w:val="hy-AM"/>
        </w:rPr>
        <w:t xml:space="preserve"> արդյունքը</w:t>
      </w:r>
    </w:p>
    <w:p w:rsidR="002D4AFC" w:rsidRPr="009D37FF" w:rsidRDefault="002D4AFC" w:rsidP="002D4AFC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D37FF">
        <w:rPr>
          <w:rFonts w:ascii="GHEA Grapalat" w:hAnsi="GHEA Grapalat" w:cs="GHEA Grapalat"/>
          <w:sz w:val="24"/>
          <w:szCs w:val="24"/>
          <w:lang w:val="hy-AM"/>
        </w:rPr>
        <w:t>Հայաստանի Հանրապետությունում պետական գրանցում չունեցող դեղերի գնման ընթացակարգերում մասնակցության հնարավորության ապահովում:</w:t>
      </w:r>
    </w:p>
    <w:p w:rsidR="006507FE" w:rsidRPr="009D37FF" w:rsidRDefault="006507FE" w:rsidP="002D4AFC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6507FE" w:rsidRPr="009D37FF" w:rsidRDefault="006507FE" w:rsidP="002D4AFC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6507FE" w:rsidRDefault="006507FE" w:rsidP="002D4AFC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3D3007" w:rsidRDefault="003D3007" w:rsidP="002D4AFC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3D3007" w:rsidRPr="009D37FF" w:rsidRDefault="003D3007" w:rsidP="002D4AFC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6507FE" w:rsidRPr="009D37FF" w:rsidRDefault="006507FE" w:rsidP="002D4AFC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6507FE" w:rsidRPr="009D37FF" w:rsidRDefault="006507FE" w:rsidP="002D4AFC">
      <w:pPr>
        <w:spacing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6507FE" w:rsidRPr="009D37FF" w:rsidRDefault="006507FE" w:rsidP="006507FE">
      <w:pPr>
        <w:spacing w:after="0" w:line="360" w:lineRule="auto"/>
        <w:ind w:left="-207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D37FF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6507FE" w:rsidRPr="009D37FF" w:rsidRDefault="006507FE" w:rsidP="006507F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/>
        </w:rPr>
      </w:pPr>
      <w:r w:rsidRPr="009D37FF">
        <w:rPr>
          <w:rFonts w:ascii="GHEA Grapalat" w:hAnsi="GHEA Grapalat"/>
          <w:lang w:val="hy-AM"/>
        </w:rPr>
        <w:t>«</w:t>
      </w:r>
      <w:r w:rsidRPr="009D37FF">
        <w:rPr>
          <w:rFonts w:ascii="GHEA Grapalat" w:hAnsi="GHEA Grapalat"/>
          <w:b/>
          <w:lang w:val="hy-AM"/>
        </w:rPr>
        <w:t xml:space="preserve">ՀԱՅԱՍՏԱՆԻ ՀԱՆՐԱՊԵՏՈՒԹՅԱՆ ԿԱՌԱՎԱՐՈՒԹՅԱՆ 2013 ԹՎԱԿԱՆԻ ՄԱՅԻՍԻ 2-Ի № 502-Ն ՈՐՈՇՄԱՆ ՄԵՋ ՓՈՓՈԽՈՒԹՅՈՒՆ ԿԱՏԱՐԵԼՈՒ ՄԱՍԻՆ» ՀԱՅԱՍՏԱՆԻ ՀԱՆՐԱՊԵՏՈՒԹՅԱՆ ԿԱՌԱՎԱՐՈՒԹՅԱՆ ՈՐՈՇՄԱՆ ՆԱԽԱԳԾԻ </w:t>
      </w:r>
      <w:r w:rsidRPr="009D37FF">
        <w:rPr>
          <w:rFonts w:ascii="GHEA Grapalat" w:hAnsi="GHEA Grapalat"/>
          <w:b/>
          <w:bCs/>
          <w:lang w:val="hy-AM"/>
        </w:rPr>
        <w:t>ԸՆԴՈՒՆՄԱՆ ԱՌՆՉՈՒԹՅԱՄԲ ՆՈՐ ԻՐԱՎԱԿԱՆ ԱԿՏԵՐԻ ԸՆԴՈՒՆՄԱՆ ԿԱՄ ԱՅԼ ԻՐԱՎԱԿԱՆ ԱԿՏԵՐՈՒՄ ՓՈՓՈԽՈՒԹՅՈՒՆՆԵՐ ԿԱՏԱՐԵԼՈՒ  ԱՆՀՐԱԺԵՇՏՈՒԹՅԱՆ ՄԱՍԻՆ</w:t>
      </w:r>
    </w:p>
    <w:p w:rsidR="006507FE" w:rsidRPr="009D37FF" w:rsidRDefault="006507FE" w:rsidP="006507F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/>
        </w:rPr>
      </w:pPr>
    </w:p>
    <w:p w:rsidR="006507FE" w:rsidRPr="009D37FF" w:rsidRDefault="006507FE" w:rsidP="006507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9D37FF">
        <w:rPr>
          <w:rFonts w:ascii="GHEA Grapalat" w:hAnsi="GHEA Grapalat"/>
          <w:lang w:val="hy-AM"/>
        </w:rPr>
        <w:t>«Հայաստանի Հանրապետության կառավարության 2013 թվականի մայիսի 2-ի № 502-Ն որոշման մեջ փոփոխություն կատարելու մասին» Հայաստանի Հանրապետության կառավարության որոշման նախագծի</w:t>
      </w:r>
      <w:r w:rsidRPr="009D37FF">
        <w:rPr>
          <w:rFonts w:ascii="GHEA Grapalat" w:hAnsi="GHEA Grapalat"/>
          <w:color w:val="000000"/>
          <w:lang w:val="hy-AM"/>
        </w:rPr>
        <w:t xml:space="preserve"> ընդունմամբ</w:t>
      </w:r>
      <w:r w:rsidRPr="009D37FF">
        <w:rPr>
          <w:rFonts w:ascii="GHEA Grapalat" w:hAnsi="GHEA Grapalat"/>
          <w:color w:val="000000"/>
          <w:lang w:val="af-ZA"/>
        </w:rPr>
        <w:t xml:space="preserve"> </w:t>
      </w:r>
      <w:r w:rsidRPr="009D37FF">
        <w:rPr>
          <w:rFonts w:ascii="GHEA Grapalat" w:hAnsi="GHEA Grapalat" w:cs="Sylfaen"/>
          <w:lang w:val="af-ZA"/>
        </w:rPr>
        <w:t>այլ</w:t>
      </w:r>
      <w:r w:rsidRPr="009D37FF">
        <w:rPr>
          <w:rFonts w:ascii="GHEA Grapalat" w:hAnsi="GHEA Grapalat" w:cs="Sylfaen"/>
          <w:lang w:val="hy-AM"/>
        </w:rPr>
        <w:t xml:space="preserve"> իրավական ակտերում</w:t>
      </w:r>
      <w:r w:rsidRPr="009D37FF">
        <w:rPr>
          <w:rFonts w:ascii="GHEA Grapalat" w:hAnsi="GHEA Grapalat" w:cs="Sylfaen"/>
          <w:lang w:val="af-ZA"/>
        </w:rPr>
        <w:t xml:space="preserve"> փոփոխություններ կատարելու անհրաժեշտություն չի</w:t>
      </w:r>
      <w:r w:rsidRPr="009D37FF">
        <w:rPr>
          <w:rFonts w:ascii="GHEA Grapalat" w:hAnsi="GHEA Grapalat" w:cs="Sylfaen"/>
          <w:lang w:val="hy-AM"/>
        </w:rPr>
        <w:t xml:space="preserve"> </w:t>
      </w:r>
      <w:r w:rsidRPr="009D37FF">
        <w:rPr>
          <w:rFonts w:ascii="GHEA Grapalat" w:hAnsi="GHEA Grapalat" w:cs="Sylfaen"/>
          <w:lang w:val="af-ZA"/>
        </w:rPr>
        <w:t>առաջանում:</w:t>
      </w:r>
    </w:p>
    <w:p w:rsidR="006507FE" w:rsidRPr="009D37FF" w:rsidRDefault="006507FE" w:rsidP="006507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</w:p>
    <w:p w:rsidR="006507FE" w:rsidRPr="009D37FF" w:rsidRDefault="006507FE" w:rsidP="006507FE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D37FF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6507FE" w:rsidRPr="009D37FF" w:rsidRDefault="006507FE" w:rsidP="006507F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/>
        </w:rPr>
      </w:pPr>
      <w:r w:rsidRPr="009D37FF">
        <w:rPr>
          <w:rFonts w:ascii="GHEA Grapalat" w:hAnsi="GHEA Grapalat"/>
          <w:lang w:val="hy-AM"/>
        </w:rPr>
        <w:t>«</w:t>
      </w:r>
      <w:r w:rsidRPr="009D37FF">
        <w:rPr>
          <w:rFonts w:ascii="GHEA Grapalat" w:hAnsi="GHEA Grapalat"/>
          <w:b/>
          <w:lang w:val="hy-AM"/>
        </w:rPr>
        <w:t xml:space="preserve">ՀԱՅԱՍՏԱՆԻ ՀԱՆՐԱՊԵՏՈՒԹՅԱՆ ԿԱՌԱՎԱՐՈՒԹՅԱՆ 2013 ԹՎԱԿԱՆԻ ՄԱՅԻՍԻ 2-Ի № 502-Ն ՈՐՈՇՄԱՆ ՄԵՋ ՓՈՓՈԽՈՒԹՅՈՒՆ ԿԱՏԱՐԵԼՈՒ ՄԱՍԻՆ» ՀԱՅԱՍՏԱՆԻ ՀԱՆՐԱՊԵՏՈՒԹՅԱՆ ԿԱՌԱՎԱՐՈՒԹՅԱՆ ՈՐՈՇՄԱՆ ՆԱԽԱԳԾԻ </w:t>
      </w:r>
      <w:r w:rsidRPr="009D37FF">
        <w:rPr>
          <w:rFonts w:ascii="GHEA Grapalat" w:hAnsi="GHEA Grapalat"/>
          <w:b/>
          <w:bCs/>
          <w:lang w:val="hy-AM"/>
        </w:rPr>
        <w:t>ԸՆԴՈՒՆՄԱՆ</w:t>
      </w:r>
      <w:r w:rsidRPr="009D37FF">
        <w:rPr>
          <w:rFonts w:ascii="GHEA Grapalat" w:hAnsi="GHEA Grapalat"/>
          <w:b/>
          <w:lang w:val="hy-AM"/>
        </w:rPr>
        <w:t xml:space="preserve"> ԿԱՊԱԿՑՈՒԹՅԱՄԲ</w:t>
      </w:r>
      <w:r w:rsidRPr="009D37FF">
        <w:rPr>
          <w:rFonts w:ascii="GHEA Grapalat" w:hAnsi="GHEA Grapalat"/>
          <w:b/>
          <w:bCs/>
          <w:lang w:val="hy-AM"/>
        </w:rPr>
        <w:t xml:space="preserve"> ՊԵՏԱԿԱՆ ԿԱՄ ՏԵՂԱԿԱՆ ԻՆՔՆԱԿԱՌԱՎԱՐՄԱՆ ՄԱՐՄԻՆՆԵՐԻ ԲՅՈՒՋԵՆԵՐՈՒՄ ԾԱԽՍԵՐԻ ԵՎ ԵԿԱՄՈՒՏՆԵՐԻ ԷԱԿԱՆ ԱՎԵԼԱՑՈՒՄՆԵՐԻ ԿԱՄ ՆՎԱԶԵՑՈՒՄՆԵՐԻ ՄԱՍԻՆ</w:t>
      </w:r>
    </w:p>
    <w:p w:rsidR="006507FE" w:rsidRPr="009D37FF" w:rsidRDefault="006507FE" w:rsidP="006507FE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lang w:val="hy-AM"/>
        </w:rPr>
      </w:pPr>
    </w:p>
    <w:p w:rsidR="006507FE" w:rsidRPr="009D37FF" w:rsidRDefault="006507FE" w:rsidP="003D3007">
      <w:pPr>
        <w:spacing w:after="0" w:line="360" w:lineRule="auto"/>
        <w:ind w:left="-207"/>
        <w:jc w:val="both"/>
        <w:rPr>
          <w:rFonts w:ascii="GHEA Grapalat" w:hAnsi="GHEA Grapalat"/>
          <w:b/>
          <w:bCs/>
          <w:lang w:val="hy-AM"/>
        </w:rPr>
      </w:pPr>
      <w:r w:rsidRPr="009D37FF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կառավարության 2013 թվականի մայիսի 2-ի № 502-Ն որոշման մեջ փոփոխություն կատարելու մասին» Հայաստանի Հանրապետության կառավարության որոշման նախագծի ընդունման կապակցությամբ պետական կամ տեղական ինքնակառավարման մարմինների բյուջեներում ծախuերի և եկամուտների էական ավելացում կամ նվազեցում չի սպասվում: </w:t>
      </w:r>
      <w:bookmarkStart w:id="1" w:name="_GoBack"/>
      <w:bookmarkEnd w:id="1"/>
      <w:r w:rsidRPr="009D37FF">
        <w:rPr>
          <w:rFonts w:ascii="GHEA Grapalat" w:hAnsi="GHEA Grapalat"/>
          <w:b/>
          <w:bCs/>
          <w:lang w:val="hy-AM"/>
        </w:rPr>
        <w:t xml:space="preserve"> </w:t>
      </w:r>
    </w:p>
    <w:p w:rsidR="002F5EFA" w:rsidRPr="009D37FF" w:rsidRDefault="002F5EFA" w:rsidP="002D4AFC">
      <w:pPr>
        <w:rPr>
          <w:rFonts w:ascii="GHEA Grapalat" w:hAnsi="GHEA Grapalat"/>
          <w:sz w:val="24"/>
          <w:szCs w:val="24"/>
          <w:lang w:val="hy-AM"/>
        </w:rPr>
      </w:pPr>
    </w:p>
    <w:sectPr w:rsidR="002F5EFA" w:rsidRPr="009D37FF" w:rsidSect="00EF532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178E2"/>
    <w:multiLevelType w:val="hybridMultilevel"/>
    <w:tmpl w:val="755A5E60"/>
    <w:lvl w:ilvl="0" w:tplc="262CD1DC">
      <w:start w:val="1"/>
      <w:numFmt w:val="decimal"/>
      <w:lvlText w:val="%1."/>
      <w:lvlJc w:val="left"/>
      <w:pPr>
        <w:ind w:left="513" w:hanging="360"/>
      </w:pPr>
    </w:lvl>
    <w:lvl w:ilvl="1" w:tplc="04090019">
      <w:start w:val="1"/>
      <w:numFmt w:val="lowerLetter"/>
      <w:lvlText w:val="%2."/>
      <w:lvlJc w:val="left"/>
      <w:pPr>
        <w:ind w:left="1233" w:hanging="360"/>
      </w:pPr>
    </w:lvl>
    <w:lvl w:ilvl="2" w:tplc="0409001B">
      <w:start w:val="1"/>
      <w:numFmt w:val="lowerRoman"/>
      <w:lvlText w:val="%3."/>
      <w:lvlJc w:val="right"/>
      <w:pPr>
        <w:ind w:left="1953" w:hanging="180"/>
      </w:pPr>
    </w:lvl>
    <w:lvl w:ilvl="3" w:tplc="0409000F">
      <w:start w:val="1"/>
      <w:numFmt w:val="decimal"/>
      <w:lvlText w:val="%4."/>
      <w:lvlJc w:val="left"/>
      <w:pPr>
        <w:ind w:left="2673" w:hanging="360"/>
      </w:pPr>
    </w:lvl>
    <w:lvl w:ilvl="4" w:tplc="04090019">
      <w:start w:val="1"/>
      <w:numFmt w:val="lowerLetter"/>
      <w:lvlText w:val="%5."/>
      <w:lvlJc w:val="left"/>
      <w:pPr>
        <w:ind w:left="3393" w:hanging="360"/>
      </w:pPr>
    </w:lvl>
    <w:lvl w:ilvl="5" w:tplc="0409001B">
      <w:start w:val="1"/>
      <w:numFmt w:val="lowerRoman"/>
      <w:lvlText w:val="%6."/>
      <w:lvlJc w:val="right"/>
      <w:pPr>
        <w:ind w:left="4113" w:hanging="180"/>
      </w:pPr>
    </w:lvl>
    <w:lvl w:ilvl="6" w:tplc="0409000F">
      <w:start w:val="1"/>
      <w:numFmt w:val="decimal"/>
      <w:lvlText w:val="%7."/>
      <w:lvlJc w:val="left"/>
      <w:pPr>
        <w:ind w:left="4833" w:hanging="360"/>
      </w:pPr>
    </w:lvl>
    <w:lvl w:ilvl="7" w:tplc="04090019">
      <w:start w:val="1"/>
      <w:numFmt w:val="lowerLetter"/>
      <w:lvlText w:val="%8."/>
      <w:lvlJc w:val="left"/>
      <w:pPr>
        <w:ind w:left="5553" w:hanging="360"/>
      </w:pPr>
    </w:lvl>
    <w:lvl w:ilvl="8" w:tplc="0409001B">
      <w:start w:val="1"/>
      <w:numFmt w:val="lowerRoman"/>
      <w:lvlText w:val="%9."/>
      <w:lvlJc w:val="right"/>
      <w:pPr>
        <w:ind w:left="6273" w:hanging="180"/>
      </w:pPr>
    </w:lvl>
  </w:abstractNum>
  <w:abstractNum w:abstractNumId="1" w15:restartNumberingAfterBreak="0">
    <w:nsid w:val="52042224"/>
    <w:multiLevelType w:val="hybridMultilevel"/>
    <w:tmpl w:val="FB046BD0"/>
    <w:lvl w:ilvl="0" w:tplc="BD14446A">
      <w:start w:val="1"/>
      <w:numFmt w:val="decimal"/>
      <w:lvlText w:val="%1."/>
      <w:lvlJc w:val="left"/>
      <w:pPr>
        <w:ind w:left="927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45"/>
    <w:rsid w:val="00057F0C"/>
    <w:rsid w:val="00061FA3"/>
    <w:rsid w:val="000E576C"/>
    <w:rsid w:val="00110F45"/>
    <w:rsid w:val="00135825"/>
    <w:rsid w:val="001862DE"/>
    <w:rsid w:val="001B48BD"/>
    <w:rsid w:val="001D440A"/>
    <w:rsid w:val="00206997"/>
    <w:rsid w:val="002B3125"/>
    <w:rsid w:val="002B4871"/>
    <w:rsid w:val="002D4AFC"/>
    <w:rsid w:val="002D6F58"/>
    <w:rsid w:val="002F5EFA"/>
    <w:rsid w:val="002F7D20"/>
    <w:rsid w:val="00363A9A"/>
    <w:rsid w:val="00376B6C"/>
    <w:rsid w:val="003D3007"/>
    <w:rsid w:val="003D7C1F"/>
    <w:rsid w:val="003E4C0B"/>
    <w:rsid w:val="00413C14"/>
    <w:rsid w:val="004464DD"/>
    <w:rsid w:val="004C11BF"/>
    <w:rsid w:val="00507874"/>
    <w:rsid w:val="00522FE0"/>
    <w:rsid w:val="005676C3"/>
    <w:rsid w:val="00572C47"/>
    <w:rsid w:val="006507FE"/>
    <w:rsid w:val="007F173C"/>
    <w:rsid w:val="0080128C"/>
    <w:rsid w:val="00801763"/>
    <w:rsid w:val="008F414A"/>
    <w:rsid w:val="00950E47"/>
    <w:rsid w:val="00986FF3"/>
    <w:rsid w:val="009D37FF"/>
    <w:rsid w:val="009F794D"/>
    <w:rsid w:val="00A13F60"/>
    <w:rsid w:val="00A8275B"/>
    <w:rsid w:val="00A9041A"/>
    <w:rsid w:val="00B258F9"/>
    <w:rsid w:val="00B270E9"/>
    <w:rsid w:val="00B33D29"/>
    <w:rsid w:val="00BF6A28"/>
    <w:rsid w:val="00C26CE2"/>
    <w:rsid w:val="00C31123"/>
    <w:rsid w:val="00C778CE"/>
    <w:rsid w:val="00C87689"/>
    <w:rsid w:val="00CF4C30"/>
    <w:rsid w:val="00D4665F"/>
    <w:rsid w:val="00EE271B"/>
    <w:rsid w:val="00EE7D0D"/>
    <w:rsid w:val="00E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7433D"/>
  <w15:docId w15:val="{8E01C030-7746-478C-A09B-2C89319D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32F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32F"/>
    <w:pPr>
      <w:ind w:left="720"/>
      <w:contextualSpacing/>
    </w:pPr>
  </w:style>
  <w:style w:type="character" w:customStyle="1" w:styleId="mechtexCharChar">
    <w:name w:val="mechtex Char Char"/>
    <w:link w:val="mechtex"/>
    <w:locked/>
    <w:rsid w:val="002D4AFC"/>
    <w:rPr>
      <w:rFonts w:ascii="Arial Armenian" w:hAnsi="Arial Armenian"/>
    </w:rPr>
  </w:style>
  <w:style w:type="paragraph" w:customStyle="1" w:styleId="mechtex">
    <w:name w:val="mechtex"/>
    <w:basedOn w:val="Normal"/>
    <w:link w:val="mechtexCharChar"/>
    <w:rsid w:val="002D4AFC"/>
    <w:pPr>
      <w:spacing w:after="0" w:line="240" w:lineRule="auto"/>
      <w:jc w:val="center"/>
    </w:pPr>
    <w:rPr>
      <w:rFonts w:ascii="Arial Armenian" w:eastAsiaTheme="minorHAnsi" w:hAnsi="Arial Armenian" w:cstheme="minorBidi"/>
      <w:lang w:eastAsia="en-US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6507FE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6507FE"/>
    <w:pPr>
      <w:spacing w:before="100" w:beforeAutospacing="1" w:after="100" w:afterAutospacing="1" w:line="240" w:lineRule="auto"/>
    </w:pPr>
    <w:rPr>
      <w:rFonts w:ascii="Times New Roman" w:hAnsi="Times New Roman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9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1149</Words>
  <Characters>6554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https://mul.gov.am/tasks/docs/attachment.php?id=492549&amp;fn=1.nakhagits_himnavorum-teghekanqner_05.12.2018.docx&amp;out=1&amp;token=ee1c602a7b77236d5cf2</cp:keywords>
  <cp:lastModifiedBy>Bela Galstyan</cp:lastModifiedBy>
  <cp:revision>2</cp:revision>
  <dcterms:created xsi:type="dcterms:W3CDTF">2018-12-05T15:10:00Z</dcterms:created>
  <dcterms:modified xsi:type="dcterms:W3CDTF">2018-12-05T15:10:00Z</dcterms:modified>
</cp:coreProperties>
</file>