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92" w:rsidRPr="00DD3AC8" w:rsidRDefault="00C45692" w:rsidP="00C45692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45692" w:rsidRPr="00795E0A" w:rsidRDefault="00C45692" w:rsidP="00C4569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C45692" w:rsidRPr="00795E0A" w:rsidRDefault="00C45692" w:rsidP="00F412CE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F412CE"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2005 ԹՎԱԿԱՆԻ ՓԵՏՐՎԱՐԻ 17-Ի N 194-Ն ՈՐՈՇՄԱՆ ՄԵՋ </w:t>
      </w:r>
      <w:r w:rsidR="00415A63" w:rsidRPr="00082FF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ՓՈՓՈԽՈՒԹՅՈՒՆՆԵՐ ԵՎ </w:t>
      </w:r>
      <w:r w:rsidR="00F412CE"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ԼՐԱՑՈՒՄՆԵՐ ԿԱՏԱՐԵԼՈՒ ՄԱՍԻՆ</w:t>
      </w: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 ՀԱՅԱՍՏԱՆԻ ՀԱՆՐԱՊԵՏՈՒԹՅԱՆ ԿԱՌԱՎԱՐՈՒԹՅԱՆ ՈՐՈՇՄԱՆ ԸՆԴՈՒՆՄԱՆ</w:t>
      </w:r>
    </w:p>
    <w:p w:rsidR="00C45692" w:rsidRPr="00DD3AC8" w:rsidRDefault="00C45692" w:rsidP="00C45692">
      <w:pPr>
        <w:spacing w:after="0" w:line="24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45692" w:rsidRPr="00DD3AC8" w:rsidRDefault="00C45692" w:rsidP="00C45692">
      <w:pPr>
        <w:spacing w:after="0" w:line="24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45692" w:rsidRPr="00DD3AC8" w:rsidRDefault="00C45692" w:rsidP="00C45692">
      <w:pPr>
        <w:spacing w:after="0" w:line="24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04F9B" w:rsidRPr="00DD3AC8" w:rsidRDefault="00004F9B" w:rsidP="007D3E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</w:pP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1. Ընթացիկ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իրավիճակը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և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իրավական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ակտի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ընդունման</w:t>
      </w:r>
      <w:r w:rsidRPr="00DD3AC8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DD3AC8">
        <w:rPr>
          <w:rStyle w:val="Strong"/>
          <w:rFonts w:ascii="GHEA Grapalat" w:hAnsi="GHEA Grapalat"/>
          <w:color w:val="000000" w:themeColor="text1"/>
          <w:bdr w:val="none" w:sz="0" w:space="0" w:color="auto" w:frame="1"/>
          <w:shd w:val="clear" w:color="auto" w:fill="FFFFFF"/>
          <w:lang w:val="hy-AM"/>
        </w:rPr>
        <w:t>անհրաժեշտությունը</w:t>
      </w:r>
    </w:p>
    <w:p w:rsidR="00B75A29" w:rsidRDefault="00082FFD" w:rsidP="00A60D68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ՀՀ կառավարության 2005 թվականի փետրվարի 17-ի 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N </w:t>
      </w: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194-Ն որոշմամբ սահմանվել են 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ՀՀ պետական մարմինների ծառայողական </w:t>
      </w:r>
      <w:r w:rsidR="00A60D68" w:rsidRPr="00F174B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ավտո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մեքենաների </w:t>
      </w:r>
      <w:proofErr w:type="spellStart"/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ս</w:t>
      </w:r>
      <w:r w:rsidR="00CE1686" w:rsidRP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համանաքանակները</w:t>
      </w:r>
      <w:proofErr w:type="spellEnd"/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: Սակայն 2018թ.</w:t>
      </w:r>
      <w:r w:rsidR="00B75A29" w:rsidRP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-</w:t>
      </w:r>
      <w:r w:rsid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ին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, երբ նախկինում ՀՀ </w:t>
      </w:r>
      <w:r w:rsid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նախարար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ու</w:t>
      </w:r>
      <w:r w:rsidR="00CE1686" w:rsidRP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թ</w:t>
      </w:r>
      <w:r w:rsid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յ</w:t>
      </w:r>
      <w:r w:rsidR="00CE1686" w:rsidRP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ու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նների կազմում կամ կառավարման ոլորտում գործող տեսչությունները</w:t>
      </w: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(տեսչական մարմինները)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ստացան ՀՀ կառավարության ենթակա</w:t>
      </w: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մարմինների կարգավիճակ</w:t>
      </w:r>
      <w:r w:rsidR="00CE1686" w:rsidRP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,</w:t>
      </w: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փաստացի վերջիններիս համար հատկացվող </w:t>
      </w:r>
      <w:r w:rsid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ավտոմեք</w:t>
      </w: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ենաների սահմանաքանակները չսահմանվեցին: 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Իրավական կարգավորման բացակայության </w:t>
      </w:r>
      <w:proofErr w:type="spellStart"/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հետևանքով</w:t>
      </w:r>
      <w:proofErr w:type="spellEnd"/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ՏՄ-</w:t>
      </w:r>
      <w:proofErr w:type="spellStart"/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ներին</w:t>
      </w:r>
      <w:proofErr w:type="spellEnd"/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E1686" w:rsidRPr="00CE168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անհրաժեշտ քանակությամբ 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տրանսպորտային միջոցներ ամրացնելու գործընթացը չի իրականանում, որը բացասաբար է անդրադառնում տ</w:t>
      </w:r>
      <w:r w:rsidR="00CE1686"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եսչական մարմ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ինների</w:t>
      </w:r>
      <w:r w:rsidR="00CE1686"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կողմից իրականացվող կանխարգել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իչ</w:t>
      </w:r>
      <w:r w:rsidR="00CE1686"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վերահսկող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ական</w:t>
      </w:r>
      <w:r w:rsidR="00CE1686"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գործունեության պատշաճ և ամբողջական </w:t>
      </w:r>
      <w:r w:rsidR="00CE1686"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իրականացման վրա</w:t>
      </w:r>
      <w:r w:rsidR="00CE1686" w:rsidRPr="00DD3AC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:rsidR="00391BED" w:rsidRDefault="00A60D68" w:rsidP="00391BED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A60D6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Միևնույն</w:t>
      </w:r>
      <w:proofErr w:type="spellEnd"/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ժամանակ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ՀՀ վարչապետի </w:t>
      </w:r>
      <w:proofErr w:type="spellStart"/>
      <w:r>
        <w:rPr>
          <w:rFonts w:ascii="GHEA Grapalat" w:eastAsia="Times New Roman" w:hAnsi="GHEA Grapalat"/>
          <w:bCs/>
          <w:sz w:val="24"/>
          <w:szCs w:val="24"/>
          <w:lang w:val="hy-AM"/>
        </w:rPr>
        <w:t>ս.թ</w:t>
      </w:r>
      <w:proofErr w:type="spellEnd"/>
      <w:r>
        <w:rPr>
          <w:rFonts w:ascii="GHEA Grapalat" w:eastAsia="Times New Roman" w:hAnsi="GHEA Grapalat"/>
          <w:bCs/>
          <w:sz w:val="24"/>
          <w:szCs w:val="24"/>
          <w:lang w:val="hy-AM"/>
        </w:rPr>
        <w:t>. փետրվարի 19-ի N02/04.5/7658-2019 հանձնարարականի</w:t>
      </w:r>
      <w:r w:rsidRPr="00E92D9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համաձայն պետա</w:t>
      </w:r>
      <w:r w:rsidRPr="00CE1686">
        <w:rPr>
          <w:rFonts w:ascii="GHEA Grapalat" w:eastAsia="Times New Roman" w:hAnsi="GHEA Grapalat"/>
          <w:bCs/>
          <w:sz w:val="24"/>
          <w:szCs w:val="24"/>
          <w:lang w:val="hy-AM"/>
        </w:rPr>
        <w:t>կ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ան մարմիններում պաշտոնատար անձանց սպասարկող ծառայողական ավտոմեքենա պետք է նախատեսվի միայն այդ մարմինների ղեկավարների համար:</w:t>
      </w:r>
      <w:r w:rsidR="00FF33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</w:p>
    <w:p w:rsidR="00D17503" w:rsidRPr="00D17503" w:rsidRDefault="00D17503" w:rsidP="00082FF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D175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առաջարկվող փոփոխությունների և լրացումների արդյունքում</w:t>
      </w:r>
      <w:r w:rsidRPr="00D1750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ՀՀ պետական մարմինների ծառայողական ավտոմեքենաների </w:t>
      </w:r>
      <w:proofErr w:type="spellStart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սահամանաքանակների</w:t>
      </w:r>
      <w:proofErr w:type="spellEnd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ընդհանուր թիվը մեծանում է (թվային տեսքով), սակայն ավտոմեքենաների փաստացի թիվը, ըստ էության չի ավելանում, քանի որ որոշմամբ սահմանված </w:t>
      </w:r>
      <w:r w:rsidR="00391BE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 քանի</w:t>
      </w:r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պետական մարմիններ </w:t>
      </w:r>
      <w:proofErr w:type="spellStart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այլևս</w:t>
      </w:r>
      <w:proofErr w:type="spellEnd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չեն գործում, իսկ որոշ մարմինների դեպքում ավտոմեքենաների սահմանաքանակները փաստացի նվազեցվել են, սակայն փոփոխությունները </w:t>
      </w:r>
      <w:proofErr w:type="spellStart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դեռևս</w:t>
      </w:r>
      <w:proofErr w:type="spellEnd"/>
      <w:r w:rsidRPr="00D1750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որոշմամբ ամրագրված չեն:</w:t>
      </w:r>
    </w:p>
    <w:p w:rsidR="00082FFD" w:rsidRPr="00B75A29" w:rsidRDefault="00082FFD" w:rsidP="00082FFD">
      <w:pPr>
        <w:spacing w:after="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2FFD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lastRenderedPageBreak/>
        <w:t xml:space="preserve">Նախագծով առաջարկվում է </w:t>
      </w:r>
      <w:r w:rsidR="00E92D9B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սահմանել </w:t>
      </w:r>
      <w:r w:rsidR="00A60D68" w:rsidRP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միայն </w:t>
      </w:r>
      <w:r w:rsidR="00E92D9B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տեսչական մարմիններին հատկացվող </w:t>
      </w:r>
      <w:r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Pr="00C7514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ավտոմեքենա</w:t>
      </w:r>
      <w:r w:rsidR="00E92D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ների առավելագույն թիվը՝ տեսչական մարմիններին </w:t>
      </w:r>
      <w:r w:rsidR="00F174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ավտո</w:t>
      </w:r>
      <w:r w:rsidR="00E92D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մեքենաներ </w:t>
      </w:r>
      <w:proofErr w:type="spellStart"/>
      <w:r w:rsidR="00E92D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ամրակցելու</w:t>
      </w:r>
      <w:proofErr w:type="spellEnd"/>
      <w:r w:rsidR="00E92D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գործընթացը կանոնակարգելու նպատակով</w:t>
      </w:r>
      <w:r w:rsidR="00A60D68" w:rsidRPr="00B75A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իսկ մնացած պետական մարմինների համար նախատեսվում է </w:t>
      </w:r>
      <w:r w:rsidR="00A60D6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ծառայողական </w:t>
      </w:r>
      <w:r w:rsidR="00A60D68" w:rsidRP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ավտո</w:t>
      </w:r>
      <w:r w:rsidR="00A60D6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մեքենաների </w:t>
      </w:r>
      <w:proofErr w:type="spellStart"/>
      <w:r w:rsidR="00A60D6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ս</w:t>
      </w:r>
      <w:r w:rsidR="00A60D68" w:rsidRPr="00CE1686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ա</w:t>
      </w:r>
      <w:r w:rsidR="00A60D68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համանաքանակները</w:t>
      </w:r>
      <w:proofErr w:type="spellEnd"/>
      <w:r w:rsidR="00A60D68" w:rsidRP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հստակեցնել ՀՀ Վարչապետի համապատասխան հանձնարարական</w:t>
      </w:r>
      <w:r w:rsidR="00FF331B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>ների</w:t>
      </w:r>
      <w:r w:rsidR="00A60D68" w:rsidRPr="00B75A29">
        <w:rPr>
          <w:rFonts w:ascii="GHEA Grapalat" w:hAnsi="GHEA Grapalat"/>
          <w:color w:val="000000" w:themeColor="text1"/>
          <w:spacing w:val="-4"/>
          <w:sz w:val="24"/>
          <w:szCs w:val="24"/>
          <w:shd w:val="clear" w:color="auto" w:fill="FFFFFF"/>
          <w:lang w:val="hy-AM"/>
        </w:rPr>
        <w:t xml:space="preserve"> կատարումից հետո: </w:t>
      </w:r>
    </w:p>
    <w:p w:rsidR="00A60D68" w:rsidRPr="00B75A29" w:rsidRDefault="00A60D68" w:rsidP="00082FFD">
      <w:pPr>
        <w:spacing w:after="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C45692" w:rsidRPr="00DD3AC8" w:rsidRDefault="00C45692" w:rsidP="00C4569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004F9B" w:rsidRPr="00A2674D" w:rsidRDefault="00D40B79" w:rsidP="00C45692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2. </w:t>
      </w:r>
      <w:r w:rsidR="00004F9B"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Առաջարկվող</w:t>
      </w:r>
      <w:r w:rsidR="00004F9B" w:rsidRPr="00A2674D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004F9B"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կարգավորման</w:t>
      </w:r>
      <w:r w:rsidR="00004F9B" w:rsidRPr="00A2674D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004F9B" w:rsidRPr="00A2674D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բնույթը</w:t>
      </w:r>
    </w:p>
    <w:p w:rsidR="00391BED" w:rsidRPr="00F174B8" w:rsidRDefault="00B66D46" w:rsidP="00391BED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առաջարկվում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«Հայաստանի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պետական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մարմինների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ծառայողական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ավտոմեքենաների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հատկացման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շահագործման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սպասարկման</w:t>
      </w:r>
      <w:r w:rsidR="00C75147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63D62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մասին»</w:t>
      </w:r>
      <w:r w:rsidR="00C75147" w:rsidRPr="00A2674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կառավարության 2005 թվականի փետրվարի 17-ի 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N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72818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194-ն որոշման մեջ կատարել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փոփոխություններ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63D6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լրացումներ՝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ամրագրելով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Առողջապահական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աշխատանքի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Բնապահպանության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ընդերքի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Կրթության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Շուկայի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վերահսկողության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Սննդամթերքի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ինչպես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նաև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Քաղաքաշինության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տեխնիկական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անվտանգության</w:t>
      </w:r>
      <w:r w:rsidR="00C75147" w:rsidRPr="00A2674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D3AC8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տեսչական </w:t>
      </w:r>
      <w:proofErr w:type="spellStart"/>
      <w:r w:rsidR="00DD3AC8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մարմնինների</w:t>
      </w:r>
      <w:proofErr w:type="spellEnd"/>
      <w:r w:rsidR="00DD3AC8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D3AC8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ծառայողական ավտոմեքենաների</w:t>
      </w:r>
      <w:r w:rsidR="00C75147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2E11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</w:t>
      </w:r>
      <w:r w:rsidR="00DD3AC8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>քանակ</w:t>
      </w:r>
      <w:r w:rsidR="00E92D9B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DD3AC8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672818" w:rsidRPr="00A246B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91BED" w:rsidRPr="00A246B8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Նախագծով առաջարկվում է մեկական ավտոմեքենա հատկացնել տեսչական մարմիններին՝ պաշտոնատար անձանց սպասարկման համար, իսկ մնացած ավտոմեքենաները կարող են </w:t>
      </w:r>
      <w:r w:rsidR="00A246B8" w:rsidRPr="00A246B8">
        <w:rPr>
          <w:rFonts w:ascii="GHEA Grapalat" w:eastAsia="Times New Roman" w:hAnsi="GHEA Grapalat"/>
          <w:bCs/>
          <w:sz w:val="24"/>
          <w:szCs w:val="24"/>
          <w:lang w:val="hy-AM"/>
        </w:rPr>
        <w:t>ծառայել</w:t>
      </w:r>
      <w:r w:rsidR="00391BED" w:rsidRPr="00A246B8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բացառապես տեսչական մարմինների  </w:t>
      </w:r>
      <w:r w:rsidR="00391BED" w:rsidRPr="00A24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գործառույթներից բխող</w:t>
      </w:r>
      <w:r w:rsidR="00391BED" w:rsidRPr="00A246B8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391BED" w:rsidRPr="00A24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պարտականությունները իրականացնելու համար։ Արդյունքում, </w:t>
      </w:r>
      <w:r w:rsidR="00391BED" w:rsidRPr="00A246B8">
        <w:rPr>
          <w:rFonts w:ascii="GHEA Grapalat" w:eastAsia="Times New Roman" w:hAnsi="GHEA Grapalat"/>
          <w:bCs/>
          <w:sz w:val="24"/>
          <w:szCs w:val="24"/>
          <w:lang w:val="hy-AM"/>
        </w:rPr>
        <w:t>տեսչական մարմինների ղեկավարների թվով 16 տեղակալներ չեն ունենալու սպասարկող ծառայողական ավտոմեքենաներ։</w:t>
      </w:r>
    </w:p>
    <w:p w:rsidR="00363D62" w:rsidRPr="00326279" w:rsidRDefault="00672818" w:rsidP="00363D62">
      <w:pPr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  <w:lang w:val="pt-BR"/>
        </w:rPr>
      </w:pPr>
      <w:r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Նախագծով սահմանվում են յուրաքանչյուր տեսչական մարմնի կողմից վերահսկողական և մյուս լիազորություններն առավել արդյունավետ և օպերատիվ իրականացնելու նպատակով օգտագործվող </w:t>
      </w:r>
      <w:r w:rsidR="00F174B8">
        <w:rPr>
          <w:rFonts w:ascii="GHEA Grapalat" w:eastAsia="Times New Roman" w:hAnsi="GHEA Grapalat"/>
          <w:bCs/>
          <w:sz w:val="24"/>
          <w:szCs w:val="24"/>
          <w:lang w:val="hy-AM"/>
        </w:rPr>
        <w:t>ավտո</w:t>
      </w:r>
      <w:r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մեքենաների առավելագույն թիվը</w:t>
      </w:r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: Սահմանաքանակները</w:t>
      </w:r>
      <w:r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սահմանելիս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իրականացվել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է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կարիք</w:t>
      </w:r>
      <w:r w:rsidR="00FF331B">
        <w:rPr>
          <w:rFonts w:ascii="GHEA Grapalat" w:eastAsia="Times New Roman" w:hAnsi="GHEA Grapalat"/>
          <w:bCs/>
          <w:sz w:val="24"/>
          <w:szCs w:val="24"/>
          <w:lang w:val="hy-AM"/>
        </w:rPr>
        <w:t>ներ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ի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գնահատում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,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հաշվի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են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pt-BR"/>
        </w:rPr>
        <w:t xml:space="preserve"> </w:t>
      </w:r>
      <w:r w:rsidR="001D0312" w:rsidRPr="00FF331B">
        <w:rPr>
          <w:rFonts w:ascii="GHEA Grapalat" w:eastAsia="Times New Roman" w:hAnsi="GHEA Grapalat"/>
          <w:bCs/>
          <w:sz w:val="24"/>
          <w:szCs w:val="24"/>
          <w:lang w:val="hy-AM"/>
        </w:rPr>
        <w:t>առնվել</w:t>
      </w:r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տեսչական մարմինների կողմից փաստացի տնօրինվող </w:t>
      </w:r>
      <w:r w:rsidR="00F174B8">
        <w:rPr>
          <w:rFonts w:ascii="GHEA Grapalat" w:eastAsia="Times New Roman" w:hAnsi="GHEA Grapalat"/>
          <w:bCs/>
          <w:sz w:val="24"/>
          <w:szCs w:val="24"/>
          <w:lang w:val="hy-AM"/>
        </w:rPr>
        <w:t>ավտո</w:t>
      </w:r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մեքենաների թիվը և տեսչական մարմինների արդյունավետ գործունեության</w:t>
      </w:r>
      <w:r w:rsidR="00A2674D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(ստուգումներ, </w:t>
      </w:r>
      <w:proofErr w:type="spellStart"/>
      <w:r w:rsidR="00A2674D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վարույթներ</w:t>
      </w:r>
      <w:proofErr w:type="spellEnd"/>
      <w:r w:rsidR="00A2674D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, իրազեկման և կանխարգելիչ այլ աշխատանքներ)</w:t>
      </w:r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 xml:space="preserve">համար անհրաժեշտ նվազագույն </w:t>
      </w:r>
      <w:proofErr w:type="spellStart"/>
      <w:r w:rsidR="00CE168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քանակները</w:t>
      </w:r>
      <w:proofErr w:type="spellEnd"/>
      <w:r w:rsidR="00A2674D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՝ հաշվի առնելով </w:t>
      </w:r>
      <w:r w:rsidR="00FF331B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նաև </w:t>
      </w:r>
      <w:r w:rsidR="00A2674D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տվյալ մարմինների հիմնական մասնագիտական և տարածքային ստորաբաժանումների կողմից տարբեր վայրերում միաժամանակ իրականացվող գործողությունները:</w:t>
      </w:r>
    </w:p>
    <w:p w:rsidR="00A232BD" w:rsidRPr="00326279" w:rsidRDefault="00A232BD" w:rsidP="00A232BD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</w:pP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ՀՀ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Կառավարության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2005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թ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.-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ի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N 194-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1-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ին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կետով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հաստատված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կարգի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2-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րդ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կետի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)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ենթակետի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համաձայն</w:t>
      </w:r>
      <w:proofErr w:type="spellEnd"/>
      <w:r w:rsidRPr="00326279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pt-BR"/>
        </w:rPr>
        <w:t> 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պետական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մարմինների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սպասարկման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նախատեսված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ծառայողական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ավտոմեքենաները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նախատեսված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միայն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պետական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մարմինների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գործառույթների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իրականացման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ժամանակ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աշխատողների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կողմից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ծառայողական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պարտականությունների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կատարման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ընթացքում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տրանսպորտային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սպասարկման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նպատակով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օգտագործելու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համար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(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ՏՄ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-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ի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դեպքում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ստուգումների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իրազեկման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և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այլ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ծառայողական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պարտականությունների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կատարման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նպատակով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): </w:t>
      </w:r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Սույն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նախագծով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սահմանվում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ՏՄ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ավտոմեքենաների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սահմանաքանակ</w:t>
      </w:r>
      <w:proofErr w:type="spellEnd"/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,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և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հետագայում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ՏՄ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-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ներին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ավտոմեքենաներ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ամրացնելիս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բացառությամբ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4B28C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պաշտոնատար անձանց սպասարկ</w:t>
      </w:r>
      <w:r w:rsidR="004B28C6">
        <w:rPr>
          <w:rFonts w:ascii="GHEA Grapalat" w:eastAsia="Times New Roman" w:hAnsi="GHEA Grapalat"/>
          <w:bCs/>
          <w:sz w:val="24"/>
          <w:szCs w:val="24"/>
          <w:lang w:val="hy-AM"/>
        </w:rPr>
        <w:t>ման համար</w:t>
      </w:r>
      <w:r w:rsidR="004B28C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4B28C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նախատեսված</w:t>
      </w:r>
      <w:r w:rsidR="004B28C6"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4B28C6" w:rsidRPr="00A2674D">
        <w:rPr>
          <w:rFonts w:ascii="GHEA Grapalat" w:eastAsia="Times New Roman" w:hAnsi="GHEA Grapalat"/>
          <w:bCs/>
          <w:sz w:val="24"/>
          <w:szCs w:val="24"/>
          <w:lang w:val="hy-AM"/>
        </w:rPr>
        <w:t>ծառայողական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4B28C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մեկ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</w:t>
      </w:r>
      <w:proofErr w:type="spellEnd"/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այի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, </w:t>
      </w:r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մնացած </w:t>
      </w:r>
      <w:proofErr w:type="spellStart"/>
      <w:r w:rsidR="00751269"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բոլոր</w:t>
      </w:r>
      <w:proofErr w:type="spellEnd"/>
      <w:r w:rsidR="00751269"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751269"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ավտոմեքենաները</w:t>
      </w:r>
      <w:proofErr w:type="spellEnd"/>
      <w:r w:rsidR="0075126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D0312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փաստացի</w:t>
      </w:r>
      <w:proofErr w:type="spellEnd"/>
      <w:r w:rsidR="001D0312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հանդիսան</w:t>
      </w:r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ալու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հերթապահ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ավտոմեքենաներ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, </w:t>
      </w:r>
      <w:r w:rsidR="0075126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որոնք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ծառայե</w:t>
      </w:r>
      <w:proofErr w:type="spellEnd"/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լու ե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4B28C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տեսչական մարմինների գործառույթներից բխող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ծառայողական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պարտականությունների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A232B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պատշաճ</w:t>
      </w:r>
      <w:proofErr w:type="spellEnd"/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 xml:space="preserve"> </w:t>
      </w:r>
      <w:r w:rsidR="0075126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իրականացման</w:t>
      </w:r>
      <w:r w:rsidR="008A440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համար</w:t>
      </w:r>
      <w:r w:rsidRPr="00326279">
        <w:rPr>
          <w:rFonts w:ascii="GHEA Grapalat" w:hAnsi="GHEA Grapalat"/>
          <w:color w:val="222222"/>
          <w:sz w:val="24"/>
          <w:szCs w:val="24"/>
          <w:shd w:val="clear" w:color="auto" w:fill="FFFFFF"/>
          <w:lang w:val="pt-BR"/>
        </w:rPr>
        <w:t>:</w:t>
      </w:r>
    </w:p>
    <w:p w:rsidR="00E92D9B" w:rsidRPr="00E92D9B" w:rsidRDefault="00E92D9B" w:rsidP="00363D62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C45692" w:rsidRPr="006A015B" w:rsidRDefault="00C45692" w:rsidP="00C4569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</w:p>
    <w:p w:rsidR="00004F9B" w:rsidRPr="00DD3AC8" w:rsidRDefault="00004F9B" w:rsidP="00C45692">
      <w:pPr>
        <w:pStyle w:val="ListParagraph"/>
        <w:spacing w:after="0" w:line="360" w:lineRule="auto"/>
        <w:ind w:left="0" w:firstLine="720"/>
        <w:jc w:val="both"/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3.Նախագ</w:t>
      </w:r>
      <w:r w:rsidR="00F6301B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ծ</w:t>
      </w: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ի մշակման գործընթացում ներգրավված</w:t>
      </w:r>
      <w:r w:rsidRPr="00DD3AC8">
        <w:rPr>
          <w:rFonts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DD3AC8">
        <w:rPr>
          <w:rStyle w:val="Strong"/>
          <w:rFonts w:ascii="GHEA Grapalat" w:hAnsi="GHEA Grapalat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hy-AM"/>
        </w:rPr>
        <w:t>ինստիտուտները և անձինք</w:t>
      </w:r>
    </w:p>
    <w:p w:rsidR="00550380" w:rsidRPr="00DD3AC8" w:rsidRDefault="00550380" w:rsidP="00550380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Նախագիծը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մշակվել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վարչապետի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աշխատակազմի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տեսչական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համակարգման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գրասենյակի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C45692" w:rsidRPr="00DD3AC8" w:rsidRDefault="00C45692" w:rsidP="00C45692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C45692" w:rsidRPr="00DD3AC8" w:rsidRDefault="00D40B79" w:rsidP="00D40B79">
      <w:pPr>
        <w:spacing w:after="0" w:line="360" w:lineRule="auto"/>
        <w:ind w:left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D3A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4. </w:t>
      </w:r>
      <w:r w:rsidR="00C45692" w:rsidRPr="00DD3A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="0003484A" w:rsidRPr="00DD3A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45692" w:rsidRPr="00DD3A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</w:t>
      </w:r>
    </w:p>
    <w:p w:rsidR="00B66D46" w:rsidRPr="006A015B" w:rsidRDefault="00C75147" w:rsidP="00C4569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C751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ընդունման արդյունքում ակնկալվում է ամրագրել 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Առողջապահական և աշխատանքի, Բնապահպանության և ընդերքի, Կրթության, Շուկայի վերահսկողության, Սննդամթերքի անվտանգության, ինչպես նաև </w:t>
      </w:r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 xml:space="preserve">Քաղաքաշինության, տեխնիկական և </w:t>
      </w:r>
      <w:proofErr w:type="spellStart"/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հրդեհային</w:t>
      </w:r>
      <w:proofErr w:type="spellEnd"/>
      <w:r w:rsidRPr="00C7514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անվտանգության </w:t>
      </w:r>
      <w:r w:rsidR="00B66D46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տեսչական </w:t>
      </w:r>
      <w:proofErr w:type="spellStart"/>
      <w:r w:rsidR="00B66D46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>մարմնի</w:t>
      </w:r>
      <w:r w:rsidR="008935F0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C75147">
        <w:rPr>
          <w:rFonts w:ascii="GHEA Grapalat" w:hAnsi="GHEA Grapalat"/>
          <w:color w:val="000000" w:themeColor="text1"/>
          <w:sz w:val="24"/>
          <w:szCs w:val="24"/>
          <w:lang w:val="hy-AM"/>
        </w:rPr>
        <w:t>ների</w:t>
      </w:r>
      <w:proofErr w:type="spellEnd"/>
      <w:r w:rsidR="008935F0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75147"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ծառայողական</w:t>
      </w:r>
      <w:r w:rsidR="00C87A73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35F0"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ավտոմեքենաների </w:t>
      </w:r>
      <w:r w:rsidRPr="00C751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91BE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առավելագույն </w:t>
      </w:r>
      <w:r w:rsidR="00B75A29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սահմանա</w:t>
      </w:r>
      <w:r w:rsidRPr="00C75147">
        <w:rPr>
          <w:rFonts w:ascii="GHEA Grapalat" w:hAnsi="GHEA Grapalat"/>
          <w:color w:val="000000" w:themeColor="text1"/>
          <w:sz w:val="24"/>
          <w:szCs w:val="24"/>
          <w:lang w:val="hy-AM"/>
        </w:rPr>
        <w:t>քանակը:</w:t>
      </w:r>
    </w:p>
    <w:p w:rsidR="000A7F4A" w:rsidRPr="00082FFD" w:rsidRDefault="000A7F4A" w:rsidP="00C45692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p w:rsidR="00C45692" w:rsidRPr="00795E0A" w:rsidRDefault="00C45692" w:rsidP="00C45692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ՏԵՂԵԿԱՆՔ</w:t>
      </w:r>
    </w:p>
    <w:p w:rsidR="00C45692" w:rsidRPr="00795E0A" w:rsidRDefault="00FD35AD" w:rsidP="00C45692">
      <w:pPr>
        <w:tabs>
          <w:tab w:val="left" w:pos="8222"/>
        </w:tabs>
        <w:ind w:right="-1" w:firstLine="375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2005 ԹՎԱԿԱՆԻ ՓԵՏՐՎԱՐԻ 17-Ի N 194-Ն ՈՐՈՇՄԱՆ ՄԵՋ </w:t>
      </w:r>
      <w:r w:rsidRPr="00082FF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ՓՈՓՈԽՈՒԹՅՈՒՆՆԵՐ ԵՎ 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ԼՐԱՑՈՒՄՆԵՐ ԿԱՏԱՐԵԼՈՒ ՄԱՍԻՆ</w:t>
      </w: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0A7F4A"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 w:rsidR="0003484A"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ՆԱԽԱԳԾԻ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ԱՌՆՉՈՒԹՅԱՄԲ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ԱՅԼ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ԻՐԱՎԱԿԱՆ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ԱԿՏԵՐԻ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ԱՆՀՐԱԺԵՇՏՈՒԹՅԱՆ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C45692" w:rsidRPr="00DD3AC8" w:rsidRDefault="00C45692" w:rsidP="00C45692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45692" w:rsidRPr="00DD3AC8" w:rsidRDefault="00F13618" w:rsidP="00C45692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DD3AC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«Հ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այաստանի Հանրապետության կառավարության 2005 թվականի փետրվարի 17-ի 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af-ZA"/>
        </w:rPr>
        <w:t>N</w:t>
      </w:r>
      <w:r w:rsidRPr="00DD3A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194-Ն որոշման մեջ լրացումներ կատարելու մասին</w:t>
      </w:r>
      <w:r w:rsidRPr="00DD3AC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0A7F4A" w:rsidRPr="00DD3AC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որոշման</w:t>
      </w:r>
      <w:r w:rsidR="0003484A" w:rsidRPr="00DD3AC8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A7F4A" w:rsidRPr="00DD3AC8">
        <w:rPr>
          <w:rFonts w:ascii="GHEA Grapalat" w:hAnsi="GHEA Grapalat" w:cs="Sylfaen"/>
          <w:color w:val="000000" w:themeColor="text1"/>
          <w:sz w:val="24"/>
          <w:szCs w:val="24"/>
        </w:rPr>
        <w:t>նախագծի</w:t>
      </w:r>
      <w:proofErr w:type="spellEnd"/>
      <w:r w:rsidR="0003484A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ընդունումից</w:t>
      </w:r>
      <w:r w:rsidR="0003484A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այլ</w:t>
      </w:r>
      <w:proofErr w:type="spellEnd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իրավական</w:t>
      </w:r>
      <w:proofErr w:type="spellEnd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ակ</w:t>
      </w:r>
      <w:proofErr w:type="spellEnd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ru-RU"/>
        </w:rPr>
        <w:t>տ</w:t>
      </w:r>
      <w:proofErr w:type="spellStart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երի</w:t>
      </w:r>
      <w:proofErr w:type="spellEnd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ընդունման</w:t>
      </w:r>
      <w:proofErr w:type="spellEnd"/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անհրաժեշտություն</w:t>
      </w:r>
      <w:r w:rsidR="0003484A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="0003484A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առաջանա</w:t>
      </w:r>
      <w:r w:rsidR="00C45692" w:rsidRPr="00DD3AC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:rsidR="000A7F4A" w:rsidRPr="00DD3AC8" w:rsidRDefault="000A7F4A" w:rsidP="00C45692">
      <w:pPr>
        <w:jc w:val="center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</w:p>
    <w:p w:rsidR="00C45692" w:rsidRPr="00795E0A" w:rsidRDefault="00C45692" w:rsidP="00C45692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ՏԵՂԵԿԱՆՔ</w:t>
      </w:r>
    </w:p>
    <w:p w:rsidR="00C45692" w:rsidRPr="00795E0A" w:rsidRDefault="00FD35AD" w:rsidP="00C45692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af-ZA"/>
        </w:rPr>
      </w:pP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2005 ԹՎԱԿԱՆԻ ՓԵՏՐՎԱՐԻ 17-Ի N 194-Ն ՈՐՈՇՄԱՆ ՄԵՋ 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</w:rPr>
        <w:t>ՓՈՓՈԽՈՒԹՅՈՒՆՆԵՐ</w:t>
      </w:r>
      <w:r w:rsidRPr="00082FF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</w:rPr>
        <w:t>ԵՎ</w:t>
      </w:r>
      <w:r w:rsidRPr="00082FFD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795E0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ԼՐԱՑՈՒՄՆԵՐ ԿԱՏԱՐԵԼՈՒ ՄԱՍԻՆ</w:t>
      </w:r>
      <w:r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0A7F4A"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 w:rsidR="0003484A" w:rsidRPr="00795E0A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ՆԱԽԱԳԾԻ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ԸՆԴՈՒՆՄԱՆ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ԱՌՆՉՈՒԹՅԱՄԲ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ՊԵՏԱԿԱՆ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ԲՅՈՒՋԵՈՒՄ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ԾԱԽՍԵՐԻ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ԵՎ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ԵԿԱՄՈՒՏՆԵՐԻ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ԷԱԿԱՆ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ԱՎԵԼԱՑՄԱՆ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ԿԱՄ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ՆՎԱԶԵՑՄԱՆ</w:t>
      </w:r>
      <w:r w:rsidR="0003484A" w:rsidRPr="00795E0A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</w:t>
      </w:r>
      <w:r w:rsidR="00C45692" w:rsidRPr="00795E0A">
        <w:rPr>
          <w:rFonts w:ascii="GHEA Grapalat" w:hAnsi="GHEA Grapalat" w:cs="Sylfaen"/>
          <w:b/>
          <w:color w:val="000000" w:themeColor="text1"/>
          <w:sz w:val="24"/>
          <w:szCs w:val="24"/>
        </w:rPr>
        <w:t>ՄԱՍԻՆ</w:t>
      </w:r>
    </w:p>
    <w:p w:rsidR="00C45692" w:rsidRPr="00DD3AC8" w:rsidRDefault="00C45692" w:rsidP="00C45692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C45692" w:rsidRPr="00A2674D" w:rsidRDefault="00F13618" w:rsidP="00C45692">
      <w:pPr>
        <w:spacing w:line="360" w:lineRule="auto"/>
        <w:ind w:firstLine="720"/>
        <w:jc w:val="both"/>
        <w:rPr>
          <w:color w:val="000000" w:themeColor="text1"/>
          <w:sz w:val="24"/>
          <w:szCs w:val="24"/>
          <w:lang w:val="hy-AM"/>
        </w:rPr>
      </w:pPr>
      <w:r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«Հ</w:t>
      </w:r>
      <w:r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այաստանի Հանրապետության կառավարության 2005 թվականի փետրվարի 17-ի N 194-Ն որոշման մեջ լրացումներ կատարելու մասին</w:t>
      </w:r>
      <w:r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0A7F4A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որոշման</w:t>
      </w:r>
      <w:r w:rsidR="0003484A" w:rsidRPr="00A2674D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նախագծի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կապակցությամբ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բյուջեում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եկամուտների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էական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ավելացում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նվազեցում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="0003484A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45692" w:rsidRPr="00A267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առաջանա</w:t>
      </w:r>
      <w:r w:rsidR="00C45692" w:rsidRPr="00A2674D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726BA" w:rsidRPr="00DD3AC8" w:rsidRDefault="007726BA">
      <w:pPr>
        <w:rPr>
          <w:color w:val="000000" w:themeColor="text1"/>
          <w:lang w:val="af-ZA"/>
        </w:rPr>
      </w:pPr>
    </w:p>
    <w:sectPr w:rsidR="007726BA" w:rsidRPr="00DD3AC8" w:rsidSect="00D15819">
      <w:pgSz w:w="11906" w:h="16838"/>
      <w:pgMar w:top="851" w:right="1138" w:bottom="85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97"/>
    <w:multiLevelType w:val="hybridMultilevel"/>
    <w:tmpl w:val="0DBE7738"/>
    <w:lvl w:ilvl="0" w:tplc="CED6A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CD6"/>
    <w:rsid w:val="000012A0"/>
    <w:rsid w:val="00004F9B"/>
    <w:rsid w:val="00032D6B"/>
    <w:rsid w:val="0003484A"/>
    <w:rsid w:val="00044520"/>
    <w:rsid w:val="00063FE9"/>
    <w:rsid w:val="00082CD6"/>
    <w:rsid w:val="00082FFD"/>
    <w:rsid w:val="000A5E28"/>
    <w:rsid w:val="000A7F4A"/>
    <w:rsid w:val="000B48E3"/>
    <w:rsid w:val="00104A42"/>
    <w:rsid w:val="001A62FB"/>
    <w:rsid w:val="001B5419"/>
    <w:rsid w:val="001D0312"/>
    <w:rsid w:val="001F2916"/>
    <w:rsid w:val="002B5648"/>
    <w:rsid w:val="00312E11"/>
    <w:rsid w:val="00326279"/>
    <w:rsid w:val="00337A1D"/>
    <w:rsid w:val="00337CD4"/>
    <w:rsid w:val="00363D62"/>
    <w:rsid w:val="003677B3"/>
    <w:rsid w:val="00391BED"/>
    <w:rsid w:val="00415A63"/>
    <w:rsid w:val="004B18BE"/>
    <w:rsid w:val="004B28C6"/>
    <w:rsid w:val="004E29AD"/>
    <w:rsid w:val="004F153B"/>
    <w:rsid w:val="00550380"/>
    <w:rsid w:val="005A72F9"/>
    <w:rsid w:val="005C2A64"/>
    <w:rsid w:val="005E4560"/>
    <w:rsid w:val="005F23A5"/>
    <w:rsid w:val="00672818"/>
    <w:rsid w:val="006A015B"/>
    <w:rsid w:val="006B060E"/>
    <w:rsid w:val="006B23E8"/>
    <w:rsid w:val="006B2B53"/>
    <w:rsid w:val="006B4AA5"/>
    <w:rsid w:val="006C36B7"/>
    <w:rsid w:val="006F5BCE"/>
    <w:rsid w:val="00751269"/>
    <w:rsid w:val="0076484C"/>
    <w:rsid w:val="007726BA"/>
    <w:rsid w:val="007860D3"/>
    <w:rsid w:val="0079427C"/>
    <w:rsid w:val="00794EF4"/>
    <w:rsid w:val="00795E0A"/>
    <w:rsid w:val="007D3E71"/>
    <w:rsid w:val="0080276A"/>
    <w:rsid w:val="00814011"/>
    <w:rsid w:val="008935F0"/>
    <w:rsid w:val="008A3037"/>
    <w:rsid w:val="008A4409"/>
    <w:rsid w:val="00A232BD"/>
    <w:rsid w:val="00A246B8"/>
    <w:rsid w:val="00A2674D"/>
    <w:rsid w:val="00A60D68"/>
    <w:rsid w:val="00A751CA"/>
    <w:rsid w:val="00A93771"/>
    <w:rsid w:val="00B01F86"/>
    <w:rsid w:val="00B25038"/>
    <w:rsid w:val="00B66D46"/>
    <w:rsid w:val="00B75A29"/>
    <w:rsid w:val="00BE2BBE"/>
    <w:rsid w:val="00BE38E8"/>
    <w:rsid w:val="00C04FD8"/>
    <w:rsid w:val="00C174BC"/>
    <w:rsid w:val="00C40EB9"/>
    <w:rsid w:val="00C45692"/>
    <w:rsid w:val="00C5044F"/>
    <w:rsid w:val="00C75147"/>
    <w:rsid w:val="00C80B9A"/>
    <w:rsid w:val="00C87A73"/>
    <w:rsid w:val="00C907C5"/>
    <w:rsid w:val="00CA4AE2"/>
    <w:rsid w:val="00CC780E"/>
    <w:rsid w:val="00CE1686"/>
    <w:rsid w:val="00D03280"/>
    <w:rsid w:val="00D15819"/>
    <w:rsid w:val="00D17503"/>
    <w:rsid w:val="00D36D11"/>
    <w:rsid w:val="00D40B79"/>
    <w:rsid w:val="00D805AC"/>
    <w:rsid w:val="00DB10FC"/>
    <w:rsid w:val="00DD3AC8"/>
    <w:rsid w:val="00E92D9B"/>
    <w:rsid w:val="00EC1619"/>
    <w:rsid w:val="00EC7FD4"/>
    <w:rsid w:val="00F13618"/>
    <w:rsid w:val="00F174B8"/>
    <w:rsid w:val="00F412CE"/>
    <w:rsid w:val="00F62353"/>
    <w:rsid w:val="00F6301B"/>
    <w:rsid w:val="00F913DC"/>
    <w:rsid w:val="00FD35AD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53546-31D8-43A5-94B7-97DFF52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9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45692"/>
    <w:rPr>
      <w:b/>
      <w:bCs/>
    </w:rPr>
  </w:style>
  <w:style w:type="paragraph" w:styleId="ListParagraph">
    <w:name w:val="List Paragraph"/>
    <w:basedOn w:val="Normal"/>
    <w:qFormat/>
    <w:rsid w:val="00C45692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rsid w:val="00C45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01F86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B01F8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19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A015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0B51-8B28-4E57-9B0F-10220359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Danielyan</dc:creator>
  <cp:keywords>Mulberry 2.0</cp:keywords>
  <cp:lastModifiedBy>Anjelika Khachanyan</cp:lastModifiedBy>
  <cp:revision>3</cp:revision>
  <dcterms:created xsi:type="dcterms:W3CDTF">2019-07-17T15:11:00Z</dcterms:created>
  <dcterms:modified xsi:type="dcterms:W3CDTF">2019-07-18T05:38:00Z</dcterms:modified>
</cp:coreProperties>
</file>