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885"/>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2372"/>
        <w:gridCol w:w="6718"/>
        <w:gridCol w:w="1620"/>
        <w:gridCol w:w="4230"/>
      </w:tblGrid>
      <w:tr w:rsidR="0016325E" w:rsidRPr="001D0F1A" w:rsidTr="001D0F1A">
        <w:trPr>
          <w:trHeight w:val="980"/>
        </w:trPr>
        <w:tc>
          <w:tcPr>
            <w:tcW w:w="15228" w:type="dxa"/>
            <w:gridSpan w:val="5"/>
          </w:tcPr>
          <w:p w:rsidR="004F0B47" w:rsidRPr="004F0B47" w:rsidRDefault="006E6290" w:rsidP="004F0B47">
            <w:pPr>
              <w:pStyle w:val="Header"/>
              <w:spacing w:line="360" w:lineRule="auto"/>
              <w:jc w:val="center"/>
              <w:rPr>
                <w:rFonts w:ascii="GHEA Grapalat" w:hAnsi="GHEA Grapalat"/>
                <w:lang w:val="hy-AM"/>
              </w:rPr>
            </w:pPr>
            <w:bookmarkStart w:id="0" w:name="_GoBack"/>
            <w:bookmarkEnd w:id="0"/>
            <w:r>
              <w:rPr>
                <w:rFonts w:ascii="GHEA Grapalat" w:hAnsi="GHEA Grapalat"/>
                <w:lang w:val="hy-AM"/>
              </w:rPr>
              <w:t>Ա</w:t>
            </w:r>
            <w:r w:rsidR="004F0B47" w:rsidRPr="00E45E2F">
              <w:rPr>
                <w:rFonts w:ascii="GHEA Grapalat" w:hAnsi="GHEA Grapalat"/>
                <w:lang w:val="hy-AM"/>
              </w:rPr>
              <w:t>ՄՓՈՓԱԹԵՐԹ</w:t>
            </w:r>
          </w:p>
          <w:p w:rsidR="007A73DE" w:rsidRPr="004F0B47" w:rsidRDefault="007A73DE" w:rsidP="001D0F1A">
            <w:pPr>
              <w:pStyle w:val="NormalWeb"/>
              <w:spacing w:before="0" w:beforeAutospacing="0" w:after="0" w:afterAutospacing="0"/>
              <w:ind w:firstLine="375"/>
              <w:jc w:val="center"/>
              <w:rPr>
                <w:rFonts w:ascii="GHEA Grapalat" w:hAnsi="GHEA Grapalat"/>
                <w:lang w:val="hy-AM"/>
              </w:rPr>
            </w:pPr>
            <w:r w:rsidRPr="004F0B47">
              <w:rPr>
                <w:rFonts w:ascii="GHEA Grapalat" w:hAnsi="GHEA Grapalat"/>
                <w:lang w:val="hy-AM"/>
              </w:rPr>
              <w:t>ՀԱՅԱՍՏԱՆԻ ՀԱՆՐԱՊԵՏՈՒԹՅԱՆ ԿՐԹՈՒԹՅԱՆ ՏԵՍՉԱԿԱՆ ՄԱՐՄՆԻ` ՌԻՍԿԻ ՎՐԱ ՀԻՄՆՎԱԾ ՍՏՈՒԳՈՒՄՆԵՐԻ ՄԵԹՈԴԱԲԱՆՈՒԹՅՈՒՆԸ ԵՎ ՌԻՍԿԱՅՆՈՒԹՅՈՒՆԸ ՈՐՈՇՈՂ ՉԱՓԱՆԻՇՆԵՐԻ ԸՆԴՀԱՆՈՒՐ ՆԿԱՐԱԳԻՐԸ ՀԱՍՏԱՏԵԼՈՒ ՄԱՍԻՆ ՀԱՅԱՍՏԱՆԻ ՀԱՆՐԱՊԵՏՈՒԹՅԱՆ ԿԱՌԱՎԱՐՈՒԹՅԱՆ</w:t>
            </w:r>
            <w:r w:rsidR="000C5AA4" w:rsidRPr="004F0B47">
              <w:rPr>
                <w:rFonts w:ascii="GHEA Grapalat" w:hAnsi="GHEA Grapalat"/>
                <w:lang w:val="hy-AM"/>
              </w:rPr>
              <w:t xml:space="preserve"> ՈՐՈՇՄԱՆ</w:t>
            </w:r>
          </w:p>
          <w:p w:rsidR="0016325E" w:rsidRPr="004F0B47" w:rsidRDefault="003A32F8" w:rsidP="004F0B47">
            <w:pPr>
              <w:pStyle w:val="NormalWeb"/>
              <w:spacing w:before="0" w:beforeAutospacing="0" w:after="0" w:afterAutospacing="0"/>
              <w:ind w:firstLine="375"/>
              <w:jc w:val="center"/>
              <w:rPr>
                <w:rFonts w:ascii="GHEA Grapalat" w:hAnsi="GHEA Grapalat"/>
                <w:lang w:val="hy-AM"/>
              </w:rPr>
            </w:pPr>
            <w:r w:rsidRPr="004F0B47">
              <w:rPr>
                <w:rFonts w:ascii="GHEA Grapalat" w:hAnsi="GHEA Grapalat"/>
                <w:lang w:val="hy-AM"/>
              </w:rPr>
              <w:t xml:space="preserve"> ՆԱԽԱԳԾ</w:t>
            </w:r>
            <w:r w:rsidR="006E6A92" w:rsidRPr="004F0B47">
              <w:rPr>
                <w:rFonts w:ascii="GHEA Grapalat" w:hAnsi="GHEA Grapalat"/>
                <w:lang w:val="hy-AM"/>
              </w:rPr>
              <w:t xml:space="preserve">Ի ՎԵՐԱԲԵՐՅԱԼ </w:t>
            </w:r>
          </w:p>
        </w:tc>
      </w:tr>
      <w:tr w:rsidR="004F0B47" w:rsidRPr="001D0F1A" w:rsidTr="0079125D">
        <w:trPr>
          <w:trHeight w:val="737"/>
        </w:trPr>
        <w:tc>
          <w:tcPr>
            <w:tcW w:w="288" w:type="dxa"/>
          </w:tcPr>
          <w:p w:rsidR="004F0B47" w:rsidRPr="00E45E2F" w:rsidRDefault="004F0B47" w:rsidP="004F0B47">
            <w:pPr>
              <w:jc w:val="both"/>
              <w:rPr>
                <w:rFonts w:ascii="GHEA Grapalat" w:hAnsi="GHEA Grapalat"/>
                <w:lang w:val="hy-AM"/>
              </w:rPr>
            </w:pPr>
            <w:r w:rsidRPr="00E45E2F">
              <w:rPr>
                <w:rFonts w:ascii="GHEA Grapalat" w:hAnsi="GHEA Grapalat"/>
                <w:lang w:val="hy-AM"/>
              </w:rPr>
              <w:t>N</w:t>
            </w:r>
          </w:p>
        </w:tc>
        <w:tc>
          <w:tcPr>
            <w:tcW w:w="2372" w:type="dxa"/>
          </w:tcPr>
          <w:p w:rsidR="004F0B47" w:rsidRPr="00E45E2F" w:rsidRDefault="004F0B47" w:rsidP="004F0B47">
            <w:pPr>
              <w:jc w:val="both"/>
              <w:rPr>
                <w:rFonts w:ascii="GHEA Grapalat" w:hAnsi="GHEA Grapalat"/>
                <w:lang w:val="hy-AM"/>
              </w:rPr>
            </w:pPr>
            <w:r w:rsidRPr="00E45E2F">
              <w:rPr>
                <w:rFonts w:ascii="GHEA Grapalat" w:hAnsi="GHEA Grapalat"/>
                <w:lang w:val="hy-AM"/>
              </w:rPr>
              <w:t>Առաջարկության հեղինակը</w:t>
            </w:r>
          </w:p>
        </w:tc>
        <w:tc>
          <w:tcPr>
            <w:tcW w:w="6718" w:type="dxa"/>
          </w:tcPr>
          <w:p w:rsidR="004F0B47" w:rsidRPr="00E45E2F" w:rsidRDefault="004F0B47" w:rsidP="004F0B47">
            <w:pPr>
              <w:jc w:val="both"/>
              <w:rPr>
                <w:rFonts w:ascii="GHEA Grapalat" w:hAnsi="GHEA Grapalat"/>
                <w:lang w:val="hy-AM"/>
              </w:rPr>
            </w:pPr>
            <w:r w:rsidRPr="00E45E2F">
              <w:rPr>
                <w:rFonts w:ascii="GHEA Grapalat" w:hAnsi="GHEA Grapalat"/>
                <w:lang w:val="hy-AM"/>
              </w:rPr>
              <w:t>Առաջարկության բովանդակությունը</w:t>
            </w:r>
          </w:p>
        </w:tc>
        <w:tc>
          <w:tcPr>
            <w:tcW w:w="1620" w:type="dxa"/>
          </w:tcPr>
          <w:p w:rsidR="004F0B47" w:rsidRPr="00E45E2F" w:rsidRDefault="004F0B47" w:rsidP="004F0B47">
            <w:pPr>
              <w:jc w:val="both"/>
              <w:rPr>
                <w:rFonts w:ascii="GHEA Grapalat" w:hAnsi="GHEA Grapalat"/>
                <w:lang w:val="hy-AM"/>
              </w:rPr>
            </w:pPr>
            <w:r w:rsidRPr="00E45E2F">
              <w:rPr>
                <w:rFonts w:ascii="GHEA Grapalat" w:hAnsi="GHEA Grapalat"/>
                <w:lang w:val="hy-AM"/>
              </w:rPr>
              <w:t>Եզրակացություն</w:t>
            </w:r>
          </w:p>
        </w:tc>
        <w:tc>
          <w:tcPr>
            <w:tcW w:w="4230" w:type="dxa"/>
          </w:tcPr>
          <w:p w:rsidR="004F0B47" w:rsidRPr="00E45E2F" w:rsidRDefault="004F0B47" w:rsidP="004F0B47">
            <w:pPr>
              <w:jc w:val="both"/>
              <w:rPr>
                <w:rFonts w:ascii="GHEA Grapalat" w:hAnsi="GHEA Grapalat"/>
                <w:lang w:val="hy-AM"/>
              </w:rPr>
            </w:pPr>
            <w:r w:rsidRPr="00E45E2F">
              <w:rPr>
                <w:rFonts w:ascii="GHEA Grapalat" w:hAnsi="GHEA Grapalat"/>
                <w:lang w:val="hy-AM"/>
              </w:rPr>
              <w:t>Կատարված փոփոխությունը</w:t>
            </w:r>
          </w:p>
        </w:tc>
      </w:tr>
      <w:tr w:rsidR="00003342" w:rsidRPr="001D0F1A" w:rsidTr="0079125D">
        <w:trPr>
          <w:trHeight w:val="132"/>
        </w:trPr>
        <w:tc>
          <w:tcPr>
            <w:tcW w:w="288" w:type="dxa"/>
          </w:tcPr>
          <w:p w:rsidR="0016325E" w:rsidRPr="001D0F1A" w:rsidRDefault="0016325E" w:rsidP="001D0F1A">
            <w:pPr>
              <w:tabs>
                <w:tab w:val="left" w:pos="90"/>
              </w:tabs>
              <w:jc w:val="both"/>
              <w:rPr>
                <w:rFonts w:ascii="GHEA Grapalat" w:hAnsi="GHEA Grapalat"/>
                <w:spacing w:val="-1"/>
                <w:sz w:val="22"/>
                <w:szCs w:val="22"/>
              </w:rPr>
            </w:pPr>
          </w:p>
        </w:tc>
        <w:tc>
          <w:tcPr>
            <w:tcW w:w="2372" w:type="dxa"/>
          </w:tcPr>
          <w:p w:rsidR="0016325E" w:rsidRPr="001D0F1A" w:rsidRDefault="002C5696" w:rsidP="001D0F1A">
            <w:pPr>
              <w:ind w:right="-108"/>
              <w:jc w:val="both"/>
              <w:rPr>
                <w:rFonts w:ascii="GHEA Grapalat" w:hAnsi="GHEA Grapalat"/>
                <w:spacing w:val="-1"/>
                <w:sz w:val="22"/>
                <w:szCs w:val="22"/>
                <w:lang w:val="en-US"/>
              </w:rPr>
            </w:pPr>
            <w:r w:rsidRPr="001D0F1A">
              <w:rPr>
                <w:rFonts w:ascii="GHEA Grapalat" w:hAnsi="GHEA Grapalat"/>
                <w:spacing w:val="-1"/>
                <w:sz w:val="22"/>
                <w:szCs w:val="22"/>
                <w:lang w:val="en-US"/>
              </w:rPr>
              <w:t>1</w:t>
            </w:r>
          </w:p>
        </w:tc>
        <w:tc>
          <w:tcPr>
            <w:tcW w:w="6718" w:type="dxa"/>
          </w:tcPr>
          <w:p w:rsidR="0016325E" w:rsidRPr="001D0F1A" w:rsidRDefault="002C5696" w:rsidP="001D0F1A">
            <w:pPr>
              <w:jc w:val="both"/>
              <w:rPr>
                <w:rFonts w:ascii="GHEA Grapalat" w:hAnsi="GHEA Grapalat"/>
                <w:spacing w:val="-1"/>
                <w:sz w:val="22"/>
                <w:szCs w:val="22"/>
                <w:lang w:val="en-US"/>
              </w:rPr>
            </w:pPr>
            <w:r w:rsidRPr="001D0F1A">
              <w:rPr>
                <w:rFonts w:ascii="GHEA Grapalat" w:hAnsi="GHEA Grapalat"/>
                <w:spacing w:val="-1"/>
                <w:sz w:val="22"/>
                <w:szCs w:val="22"/>
                <w:lang w:val="en-US"/>
              </w:rPr>
              <w:t>2</w:t>
            </w:r>
          </w:p>
        </w:tc>
        <w:tc>
          <w:tcPr>
            <w:tcW w:w="1620" w:type="dxa"/>
          </w:tcPr>
          <w:p w:rsidR="0016325E" w:rsidRPr="001D0F1A" w:rsidRDefault="002C5696" w:rsidP="001D0F1A">
            <w:pPr>
              <w:jc w:val="both"/>
              <w:rPr>
                <w:rFonts w:ascii="GHEA Grapalat" w:hAnsi="GHEA Grapalat"/>
                <w:spacing w:val="-1"/>
                <w:sz w:val="22"/>
                <w:szCs w:val="22"/>
                <w:lang w:val="en-US"/>
              </w:rPr>
            </w:pPr>
            <w:r w:rsidRPr="001D0F1A">
              <w:rPr>
                <w:rFonts w:ascii="GHEA Grapalat" w:hAnsi="GHEA Grapalat"/>
                <w:spacing w:val="-1"/>
                <w:sz w:val="22"/>
                <w:szCs w:val="22"/>
                <w:lang w:val="en-US"/>
              </w:rPr>
              <w:t>3</w:t>
            </w:r>
          </w:p>
        </w:tc>
        <w:tc>
          <w:tcPr>
            <w:tcW w:w="4230" w:type="dxa"/>
          </w:tcPr>
          <w:p w:rsidR="0016325E" w:rsidRPr="001D0F1A" w:rsidRDefault="002C5696" w:rsidP="001D0F1A">
            <w:pPr>
              <w:jc w:val="both"/>
              <w:rPr>
                <w:rFonts w:ascii="GHEA Grapalat" w:hAnsi="GHEA Grapalat"/>
                <w:spacing w:val="-1"/>
                <w:sz w:val="22"/>
                <w:szCs w:val="22"/>
                <w:lang w:val="en-US"/>
              </w:rPr>
            </w:pPr>
            <w:r w:rsidRPr="001D0F1A">
              <w:rPr>
                <w:rFonts w:ascii="GHEA Grapalat" w:hAnsi="GHEA Grapalat"/>
                <w:spacing w:val="-1"/>
                <w:sz w:val="22"/>
                <w:szCs w:val="22"/>
                <w:lang w:val="en-US"/>
              </w:rPr>
              <w:t>4</w:t>
            </w:r>
          </w:p>
        </w:tc>
      </w:tr>
      <w:tr w:rsidR="00EC0E5C" w:rsidRPr="001D0F1A" w:rsidTr="0079125D">
        <w:trPr>
          <w:trHeight w:val="132"/>
        </w:trPr>
        <w:tc>
          <w:tcPr>
            <w:tcW w:w="288" w:type="dxa"/>
          </w:tcPr>
          <w:p w:rsidR="00EC0E5C" w:rsidRPr="001D0F1A" w:rsidRDefault="006363FB" w:rsidP="001D0F1A">
            <w:pPr>
              <w:rPr>
                <w:rFonts w:ascii="GHEA Grapalat" w:hAnsi="GHEA Grapalat"/>
                <w:spacing w:val="-1"/>
                <w:sz w:val="22"/>
                <w:szCs w:val="22"/>
                <w:lang w:val="hy-AM"/>
              </w:rPr>
            </w:pPr>
            <w:r w:rsidRPr="001D0F1A">
              <w:rPr>
                <w:rFonts w:ascii="GHEA Grapalat" w:hAnsi="GHEA Grapalat"/>
                <w:spacing w:val="-1"/>
                <w:sz w:val="22"/>
                <w:szCs w:val="22"/>
                <w:lang w:val="hy-AM"/>
              </w:rPr>
              <w:t>1</w:t>
            </w:r>
          </w:p>
        </w:tc>
        <w:tc>
          <w:tcPr>
            <w:tcW w:w="2372" w:type="dxa"/>
          </w:tcPr>
          <w:p w:rsidR="0035528D" w:rsidRPr="0079125D" w:rsidRDefault="00EC0E5C" w:rsidP="001D0F1A">
            <w:pPr>
              <w:ind w:right="-108"/>
              <w:rPr>
                <w:rFonts w:ascii="GHEA Grapalat" w:hAnsi="GHEA Grapalat"/>
                <w:spacing w:val="-1"/>
                <w:sz w:val="22"/>
                <w:szCs w:val="22"/>
                <w:lang w:val="hy-AM"/>
              </w:rPr>
            </w:pPr>
            <w:r w:rsidRPr="0079125D">
              <w:rPr>
                <w:rFonts w:ascii="GHEA Grapalat" w:hAnsi="GHEA Grapalat"/>
                <w:spacing w:val="-1"/>
                <w:sz w:val="22"/>
                <w:szCs w:val="22"/>
                <w:lang w:val="af-ZA"/>
              </w:rPr>
              <w:t xml:space="preserve">ՀՀ </w:t>
            </w:r>
            <w:r w:rsidR="007A73DE" w:rsidRPr="0079125D">
              <w:rPr>
                <w:rFonts w:ascii="GHEA Grapalat" w:hAnsi="GHEA Grapalat"/>
                <w:spacing w:val="-1"/>
                <w:sz w:val="22"/>
                <w:szCs w:val="22"/>
                <w:lang w:val="hy-AM"/>
              </w:rPr>
              <w:t>տնտեսական զարգացման և ներդրումների նախարարություն</w:t>
            </w:r>
          </w:p>
        </w:tc>
        <w:tc>
          <w:tcPr>
            <w:tcW w:w="6718" w:type="dxa"/>
          </w:tcPr>
          <w:p w:rsidR="00126FE8" w:rsidRPr="001D0F1A" w:rsidRDefault="00080298" w:rsidP="001D0F1A">
            <w:pPr>
              <w:jc w:val="both"/>
              <w:rPr>
                <w:rFonts w:ascii="GHEA Grapalat" w:hAnsi="GHEA Grapalat"/>
                <w:spacing w:val="-1"/>
                <w:sz w:val="22"/>
                <w:szCs w:val="22"/>
                <w:lang w:val="af-ZA"/>
              </w:rPr>
            </w:pPr>
            <w:r w:rsidRPr="001D0F1A">
              <w:rPr>
                <w:rFonts w:ascii="GHEA Grapalat" w:hAnsi="GHEA Grapalat"/>
                <w:spacing w:val="-1"/>
                <w:sz w:val="22"/>
                <w:szCs w:val="22"/>
                <w:lang w:val="af-ZA"/>
              </w:rPr>
              <w:t>Դիտողություններ և առաջարկություններ չկան:</w:t>
            </w:r>
          </w:p>
        </w:tc>
        <w:tc>
          <w:tcPr>
            <w:tcW w:w="1620" w:type="dxa"/>
          </w:tcPr>
          <w:p w:rsidR="00EC0E5C" w:rsidRPr="001D0F1A" w:rsidRDefault="00EC0E5C" w:rsidP="001D0F1A">
            <w:pPr>
              <w:jc w:val="center"/>
              <w:rPr>
                <w:rFonts w:ascii="GHEA Grapalat" w:hAnsi="GHEA Grapalat"/>
                <w:spacing w:val="-1"/>
                <w:sz w:val="22"/>
                <w:szCs w:val="22"/>
                <w:lang w:val="af-ZA"/>
              </w:rPr>
            </w:pPr>
          </w:p>
        </w:tc>
        <w:tc>
          <w:tcPr>
            <w:tcW w:w="4230" w:type="dxa"/>
          </w:tcPr>
          <w:p w:rsidR="00EC0E5C" w:rsidRPr="001D0F1A" w:rsidRDefault="00EC0E5C" w:rsidP="001D0F1A">
            <w:pPr>
              <w:jc w:val="both"/>
              <w:rPr>
                <w:rFonts w:ascii="GHEA Grapalat" w:hAnsi="GHEA Grapalat"/>
                <w:spacing w:val="-1"/>
                <w:sz w:val="22"/>
                <w:szCs w:val="22"/>
                <w:lang w:val="af-ZA"/>
              </w:rPr>
            </w:pPr>
          </w:p>
        </w:tc>
      </w:tr>
      <w:tr w:rsidR="00C206B4" w:rsidRPr="001D0F1A" w:rsidTr="0079125D">
        <w:trPr>
          <w:trHeight w:val="2640"/>
        </w:trPr>
        <w:tc>
          <w:tcPr>
            <w:tcW w:w="288" w:type="dxa"/>
            <w:vMerge w:val="restart"/>
          </w:tcPr>
          <w:p w:rsidR="00C206B4" w:rsidRPr="001D0F1A" w:rsidRDefault="00C206B4" w:rsidP="001D0F1A">
            <w:pPr>
              <w:rPr>
                <w:rFonts w:ascii="GHEA Grapalat" w:hAnsi="GHEA Grapalat"/>
                <w:spacing w:val="-1"/>
                <w:sz w:val="22"/>
                <w:szCs w:val="22"/>
                <w:lang w:val="hy-AM"/>
              </w:rPr>
            </w:pPr>
            <w:r w:rsidRPr="001D0F1A">
              <w:rPr>
                <w:rFonts w:ascii="GHEA Grapalat" w:hAnsi="GHEA Grapalat"/>
                <w:spacing w:val="-1"/>
                <w:sz w:val="22"/>
                <w:szCs w:val="22"/>
                <w:lang w:val="hy-AM"/>
              </w:rPr>
              <w:t>2</w:t>
            </w:r>
          </w:p>
        </w:tc>
        <w:tc>
          <w:tcPr>
            <w:tcW w:w="2372" w:type="dxa"/>
            <w:vMerge w:val="restart"/>
          </w:tcPr>
          <w:p w:rsidR="00C206B4" w:rsidRPr="001D0F1A" w:rsidRDefault="00C206B4" w:rsidP="0079125D">
            <w:pPr>
              <w:pStyle w:val="Heading2"/>
              <w:spacing w:before="0" w:after="0"/>
              <w:rPr>
                <w:rFonts w:ascii="GHEA Grapalat" w:hAnsi="GHEA Grapalat"/>
                <w:b w:val="0"/>
                <w:bCs w:val="0"/>
                <w:i w:val="0"/>
                <w:iCs w:val="0"/>
                <w:spacing w:val="-1"/>
                <w:sz w:val="22"/>
                <w:szCs w:val="22"/>
                <w:lang w:val="hy-AM"/>
              </w:rPr>
            </w:pPr>
            <w:r w:rsidRPr="001D0F1A">
              <w:rPr>
                <w:rFonts w:ascii="GHEA Grapalat" w:hAnsi="GHEA Grapalat"/>
                <w:b w:val="0"/>
                <w:bCs w:val="0"/>
                <w:i w:val="0"/>
                <w:iCs w:val="0"/>
                <w:spacing w:val="-1"/>
                <w:sz w:val="22"/>
                <w:szCs w:val="22"/>
                <w:lang w:val="hy-AM"/>
              </w:rPr>
              <w:t>ՀՀ արդարադատության նախարարությ</w:t>
            </w:r>
            <w:r w:rsidR="0079125D">
              <w:rPr>
                <w:rFonts w:ascii="GHEA Grapalat" w:hAnsi="GHEA Grapalat"/>
                <w:b w:val="0"/>
                <w:bCs w:val="0"/>
                <w:i w:val="0"/>
                <w:iCs w:val="0"/>
                <w:spacing w:val="-1"/>
                <w:sz w:val="22"/>
                <w:szCs w:val="22"/>
                <w:lang w:val="en-GB"/>
              </w:rPr>
              <w:t>ուն</w:t>
            </w:r>
          </w:p>
        </w:tc>
        <w:tc>
          <w:tcPr>
            <w:tcW w:w="6718" w:type="dxa"/>
          </w:tcPr>
          <w:p w:rsidR="00C206B4" w:rsidRPr="001D0F1A" w:rsidRDefault="00C206B4" w:rsidP="001D0F1A">
            <w:pPr>
              <w:pStyle w:val="ListParagraph"/>
              <w:spacing w:after="0" w:line="240" w:lineRule="auto"/>
              <w:ind w:left="0"/>
              <w:jc w:val="both"/>
              <w:rPr>
                <w:rFonts w:ascii="GHEA Grapalat" w:hAnsi="GHEA Grapalat"/>
                <w:color w:val="000000"/>
                <w:shd w:val="clear" w:color="auto" w:fill="FFFFFF"/>
                <w:lang w:val="hy-AM"/>
              </w:rPr>
            </w:pPr>
            <w:r w:rsidRPr="001D0F1A">
              <w:rPr>
                <w:rFonts w:ascii="GHEA Grapalat" w:hAnsi="GHEA Grapalat"/>
                <w:color w:val="000000"/>
                <w:shd w:val="clear" w:color="auto" w:fill="FFFFFF"/>
                <w:lang w:val="hy-AM"/>
              </w:rPr>
              <w:t>1.Որոշման նախագծի (այսուհետ՝ նախագիծ) 1-ին կետով հաստատվող հավելվածի 1-ին կետում «Սույնով» բառն անհրաժեշտ է փոխարինել «Սույն ակտով» բառերով, ինչպես նաև նախագծից հանել վերնագրից առաջ նշված «սեպտեմբերի» բառը:</w:t>
            </w:r>
          </w:p>
          <w:p w:rsidR="00C206B4" w:rsidRPr="001D0F1A" w:rsidRDefault="00C206B4" w:rsidP="001D0F1A">
            <w:pPr>
              <w:pStyle w:val="ListParagraph"/>
              <w:spacing w:after="0" w:line="240" w:lineRule="auto"/>
              <w:ind w:left="0"/>
              <w:jc w:val="both"/>
              <w:rPr>
                <w:rFonts w:ascii="GHEA Grapalat" w:hAnsi="GHEA Grapalat"/>
                <w:spacing w:val="-1"/>
                <w:lang w:val="hy-AM"/>
              </w:rPr>
            </w:pPr>
            <w:r w:rsidRPr="001D0F1A">
              <w:rPr>
                <w:rFonts w:ascii="GHEA Grapalat" w:hAnsi="GHEA Grapalat"/>
                <w:color w:val="000000"/>
                <w:shd w:val="clear" w:color="auto" w:fill="FFFFFF"/>
                <w:lang w:val="hy-AM"/>
              </w:rPr>
              <w:t xml:space="preserve">2.Հավելվածի 28-րդ կետում անհրաժեշտ է հստակեցնել համապատասխան իրավական ակտերին տրված հղումները՝ համաձայն «Նորմատիվ իրավական ակտերի մասին» օրենքի 17-րդ հոդվածի 4-րդ մասի պահանջները: </w:t>
            </w:r>
          </w:p>
        </w:tc>
        <w:tc>
          <w:tcPr>
            <w:tcW w:w="1620" w:type="dxa"/>
          </w:tcPr>
          <w:p w:rsidR="00C206B4" w:rsidRPr="001D0F1A" w:rsidRDefault="00C206B4" w:rsidP="001D0F1A">
            <w:pPr>
              <w:rPr>
                <w:rFonts w:ascii="GHEA Grapalat" w:eastAsia="Calibri" w:hAnsi="GHEA Grapalat"/>
                <w:color w:val="000000"/>
                <w:sz w:val="22"/>
                <w:szCs w:val="22"/>
                <w:shd w:val="clear" w:color="auto" w:fill="FFFFFF"/>
                <w:lang w:val="hy-AM" w:eastAsia="en-US"/>
              </w:rPr>
            </w:pPr>
            <w:r w:rsidRPr="001D0F1A">
              <w:rPr>
                <w:rFonts w:ascii="GHEA Grapalat" w:eastAsia="Calibri" w:hAnsi="GHEA Grapalat"/>
                <w:color w:val="000000"/>
                <w:sz w:val="22"/>
                <w:szCs w:val="22"/>
                <w:shd w:val="clear" w:color="auto" w:fill="FFFFFF"/>
                <w:lang w:val="hy-AM" w:eastAsia="en-US"/>
              </w:rPr>
              <w:t>Ընդունվել է</w:t>
            </w:r>
          </w:p>
        </w:tc>
        <w:tc>
          <w:tcPr>
            <w:tcW w:w="4230" w:type="dxa"/>
          </w:tcPr>
          <w:p w:rsidR="00C206B4" w:rsidRPr="001D0F1A" w:rsidRDefault="00C206B4" w:rsidP="001D0F1A">
            <w:pPr>
              <w:rPr>
                <w:rFonts w:ascii="GHEA Grapalat" w:eastAsia="Calibri" w:hAnsi="GHEA Grapalat"/>
                <w:color w:val="000000"/>
                <w:sz w:val="22"/>
                <w:szCs w:val="22"/>
                <w:shd w:val="clear" w:color="auto" w:fill="FFFFFF"/>
                <w:lang w:val="hy-AM" w:eastAsia="en-US"/>
              </w:rPr>
            </w:pPr>
            <w:r w:rsidRPr="001D0F1A">
              <w:rPr>
                <w:rFonts w:ascii="GHEA Grapalat" w:eastAsia="Calibri" w:hAnsi="GHEA Grapalat"/>
                <w:color w:val="000000"/>
                <w:sz w:val="22"/>
                <w:szCs w:val="22"/>
                <w:shd w:val="clear" w:color="auto" w:fill="FFFFFF"/>
                <w:lang w:val="hy-AM" w:eastAsia="en-US"/>
              </w:rPr>
              <w:t>Կատարվել են համապատասխան փոփոխություններ</w:t>
            </w:r>
          </w:p>
        </w:tc>
      </w:tr>
      <w:tr w:rsidR="00C206B4" w:rsidRPr="001D0F1A" w:rsidTr="0079125D">
        <w:trPr>
          <w:trHeight w:val="600"/>
        </w:trPr>
        <w:tc>
          <w:tcPr>
            <w:tcW w:w="288" w:type="dxa"/>
            <w:vMerge/>
          </w:tcPr>
          <w:p w:rsidR="00C206B4" w:rsidRPr="001D0F1A" w:rsidRDefault="00C206B4" w:rsidP="001D0F1A">
            <w:pPr>
              <w:rPr>
                <w:rFonts w:ascii="GHEA Grapalat" w:hAnsi="GHEA Grapalat"/>
                <w:spacing w:val="-1"/>
                <w:sz w:val="22"/>
                <w:szCs w:val="22"/>
                <w:lang w:val="hy-AM"/>
              </w:rPr>
            </w:pPr>
          </w:p>
        </w:tc>
        <w:tc>
          <w:tcPr>
            <w:tcW w:w="2372" w:type="dxa"/>
            <w:vMerge/>
          </w:tcPr>
          <w:p w:rsidR="00C206B4" w:rsidRPr="001D0F1A" w:rsidRDefault="00C206B4" w:rsidP="001D0F1A">
            <w:pPr>
              <w:pStyle w:val="Heading2"/>
              <w:spacing w:before="0" w:after="0"/>
              <w:rPr>
                <w:rFonts w:ascii="GHEA Grapalat" w:hAnsi="GHEA Grapalat"/>
                <w:b w:val="0"/>
                <w:bCs w:val="0"/>
                <w:i w:val="0"/>
                <w:iCs w:val="0"/>
                <w:spacing w:val="-1"/>
                <w:sz w:val="22"/>
                <w:szCs w:val="22"/>
                <w:lang w:val="hy-AM"/>
              </w:rPr>
            </w:pPr>
          </w:p>
        </w:tc>
        <w:tc>
          <w:tcPr>
            <w:tcW w:w="6718" w:type="dxa"/>
          </w:tcPr>
          <w:p w:rsidR="00C206B4" w:rsidRPr="001D0F1A" w:rsidRDefault="00C206B4" w:rsidP="001D0F1A">
            <w:pPr>
              <w:pStyle w:val="ListParagraph"/>
              <w:spacing w:after="0" w:line="240" w:lineRule="auto"/>
              <w:ind w:left="0"/>
              <w:jc w:val="both"/>
              <w:rPr>
                <w:rFonts w:ascii="GHEA Grapalat" w:hAnsi="GHEA Grapalat"/>
                <w:color w:val="000000"/>
                <w:shd w:val="clear" w:color="auto" w:fill="FFFFFF"/>
                <w:lang w:val="hy-AM"/>
              </w:rPr>
            </w:pPr>
            <w:r w:rsidRPr="001D0F1A">
              <w:rPr>
                <w:rFonts w:ascii="GHEA Grapalat" w:hAnsi="GHEA Grapalat"/>
                <w:color w:val="000000"/>
                <w:shd w:val="clear" w:color="auto" w:fill="FFFFFF"/>
                <w:lang w:val="hy-AM"/>
              </w:rPr>
              <w:t>3.Նախագիծն անհրաժեշտ է համաձայնեցնել բոլոր շահագրգիռ մարմինների հետ:</w:t>
            </w:r>
          </w:p>
        </w:tc>
        <w:tc>
          <w:tcPr>
            <w:tcW w:w="1620" w:type="dxa"/>
          </w:tcPr>
          <w:p w:rsidR="00C206B4" w:rsidRPr="001D0F1A" w:rsidRDefault="00C206B4" w:rsidP="001D0F1A">
            <w:pPr>
              <w:rPr>
                <w:rFonts w:ascii="GHEA Grapalat" w:eastAsia="Calibri" w:hAnsi="GHEA Grapalat"/>
                <w:color w:val="000000"/>
                <w:sz w:val="22"/>
                <w:szCs w:val="22"/>
                <w:shd w:val="clear" w:color="auto" w:fill="FFFFFF"/>
                <w:lang w:val="hy-AM" w:eastAsia="en-US"/>
              </w:rPr>
            </w:pPr>
            <w:r w:rsidRPr="001D0F1A">
              <w:rPr>
                <w:rFonts w:ascii="GHEA Grapalat" w:eastAsia="Calibri" w:hAnsi="GHEA Grapalat"/>
                <w:color w:val="000000"/>
                <w:sz w:val="22"/>
                <w:szCs w:val="22"/>
                <w:shd w:val="clear" w:color="auto" w:fill="FFFFFF"/>
                <w:lang w:val="hy-AM" w:eastAsia="en-US"/>
              </w:rPr>
              <w:t>Ընդունվել է</w:t>
            </w:r>
          </w:p>
        </w:tc>
        <w:tc>
          <w:tcPr>
            <w:tcW w:w="4230" w:type="dxa"/>
          </w:tcPr>
          <w:p w:rsidR="00C206B4" w:rsidRPr="001D0F1A" w:rsidRDefault="00C206B4" w:rsidP="001D0F1A">
            <w:pPr>
              <w:rPr>
                <w:rFonts w:ascii="GHEA Grapalat" w:eastAsia="Calibri" w:hAnsi="GHEA Grapalat"/>
                <w:color w:val="000000"/>
                <w:sz w:val="22"/>
                <w:szCs w:val="22"/>
                <w:shd w:val="clear" w:color="auto" w:fill="FFFFFF"/>
                <w:lang w:val="hy-AM" w:eastAsia="en-US"/>
              </w:rPr>
            </w:pPr>
            <w:r w:rsidRPr="001D0F1A">
              <w:rPr>
                <w:rFonts w:ascii="GHEA Grapalat" w:eastAsia="Calibri" w:hAnsi="GHEA Grapalat"/>
                <w:color w:val="000000"/>
                <w:sz w:val="22"/>
                <w:szCs w:val="22"/>
                <w:shd w:val="clear" w:color="auto" w:fill="FFFFFF"/>
                <w:lang w:val="hy-AM" w:eastAsia="en-US"/>
              </w:rPr>
              <w:t xml:space="preserve">Նախագիծը համաձայնեցվել է </w:t>
            </w:r>
            <w:r w:rsidRPr="001D0F1A">
              <w:rPr>
                <w:rFonts w:ascii="GHEA Grapalat" w:hAnsi="GHEA Grapalat"/>
                <w:sz w:val="22"/>
                <w:szCs w:val="22"/>
                <w:lang w:val="hy-AM"/>
              </w:rPr>
              <w:t xml:space="preserve"> </w:t>
            </w:r>
            <w:r w:rsidRPr="001D0F1A">
              <w:rPr>
                <w:rFonts w:ascii="GHEA Grapalat" w:eastAsia="Calibri" w:hAnsi="GHEA Grapalat"/>
                <w:color w:val="000000"/>
                <w:sz w:val="22"/>
                <w:szCs w:val="22"/>
                <w:shd w:val="clear" w:color="auto" w:fill="FFFFFF"/>
                <w:lang w:val="hy-AM" w:eastAsia="en-US"/>
              </w:rPr>
              <w:t>բոլոր շահագրգիռ մարմինների հետ</w:t>
            </w:r>
          </w:p>
        </w:tc>
      </w:tr>
      <w:tr w:rsidR="00DB2252" w:rsidRPr="001D0F1A" w:rsidTr="0079125D">
        <w:trPr>
          <w:trHeight w:val="2798"/>
        </w:trPr>
        <w:tc>
          <w:tcPr>
            <w:tcW w:w="288" w:type="dxa"/>
            <w:vMerge w:val="restart"/>
          </w:tcPr>
          <w:p w:rsidR="00DB2252" w:rsidRPr="001D0F1A" w:rsidRDefault="00DB2252" w:rsidP="001D0F1A">
            <w:pPr>
              <w:jc w:val="both"/>
              <w:rPr>
                <w:rFonts w:ascii="GHEA Grapalat" w:hAnsi="GHEA Grapalat"/>
                <w:spacing w:val="-1"/>
                <w:sz w:val="22"/>
                <w:szCs w:val="22"/>
                <w:lang w:val="hy-AM"/>
              </w:rPr>
            </w:pPr>
            <w:r w:rsidRPr="001D0F1A">
              <w:rPr>
                <w:rFonts w:ascii="GHEA Grapalat" w:hAnsi="GHEA Grapalat"/>
                <w:spacing w:val="-1"/>
                <w:sz w:val="22"/>
                <w:szCs w:val="22"/>
                <w:lang w:val="hy-AM"/>
              </w:rPr>
              <w:t>3</w:t>
            </w:r>
          </w:p>
        </w:tc>
        <w:tc>
          <w:tcPr>
            <w:tcW w:w="2372" w:type="dxa"/>
            <w:vMerge w:val="restart"/>
          </w:tcPr>
          <w:p w:rsidR="00DB2252" w:rsidRPr="0079125D" w:rsidRDefault="00DB2252" w:rsidP="001D0F1A">
            <w:pPr>
              <w:ind w:right="-108"/>
              <w:jc w:val="both"/>
              <w:rPr>
                <w:rFonts w:ascii="GHEA Grapalat" w:hAnsi="GHEA Grapalat"/>
                <w:spacing w:val="-1"/>
                <w:sz w:val="22"/>
                <w:szCs w:val="22"/>
                <w:lang w:val="hy-AM"/>
              </w:rPr>
            </w:pPr>
            <w:r w:rsidRPr="0079125D">
              <w:rPr>
                <w:rFonts w:ascii="GHEA Grapalat" w:hAnsi="GHEA Grapalat"/>
                <w:spacing w:val="-1"/>
                <w:sz w:val="22"/>
                <w:szCs w:val="22"/>
                <w:lang w:val="hy-AM"/>
              </w:rPr>
              <w:t>ՀՀ կրթության և գիտության նախարարություն</w:t>
            </w:r>
          </w:p>
        </w:tc>
        <w:tc>
          <w:tcPr>
            <w:tcW w:w="6718" w:type="dxa"/>
          </w:tcPr>
          <w:p w:rsidR="00DB2252" w:rsidRPr="001D0F1A" w:rsidRDefault="00DB2252" w:rsidP="001D0F1A">
            <w:pPr>
              <w:pStyle w:val="ListParagraph"/>
              <w:spacing w:after="0" w:line="240" w:lineRule="auto"/>
              <w:ind w:left="0"/>
              <w:jc w:val="both"/>
              <w:rPr>
                <w:rFonts w:ascii="GHEA Grapalat" w:hAnsi="GHEA Grapalat"/>
                <w:color w:val="000000"/>
                <w:shd w:val="clear" w:color="auto" w:fill="FFFFFF"/>
                <w:lang w:val="hy-AM"/>
              </w:rPr>
            </w:pPr>
            <w:r w:rsidRPr="001D0F1A">
              <w:rPr>
                <w:rFonts w:ascii="GHEA Grapalat" w:hAnsi="GHEA Grapalat"/>
                <w:color w:val="000000"/>
                <w:shd w:val="clear" w:color="auto" w:fill="FFFFFF"/>
                <w:lang w:val="hy-AM"/>
              </w:rPr>
              <w:t xml:space="preserve">Առաջարկվում է՝ </w:t>
            </w:r>
          </w:p>
          <w:p w:rsidR="00DB2252" w:rsidRPr="001D0F1A" w:rsidRDefault="004F0B47" w:rsidP="001D0F1A">
            <w:pPr>
              <w:pStyle w:val="ListParagraph"/>
              <w:spacing w:after="0" w:line="240" w:lineRule="auto"/>
              <w:ind w:left="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w:t>
            </w:r>
            <w:r w:rsidR="00DB2252" w:rsidRPr="001D0F1A">
              <w:rPr>
                <w:rFonts w:ascii="GHEA Grapalat" w:hAnsi="GHEA Grapalat"/>
                <w:color w:val="000000"/>
                <w:shd w:val="clear" w:color="auto" w:fill="FFFFFF"/>
                <w:lang w:val="hy-AM"/>
              </w:rPr>
              <w:t>«Նախնական մասնագիտական (արհեստագործական) կրթության և միջին մասնագիտական կրթության ոլորտներում ուսումնական հաստատության կրթական գործունեությունը բնութագրող ռիսկային հիմնական չափանիշներով հաշվարկվող ռիսկայնության (առաջին բաղադրիչ) գնահատումը» հոդվածի 37-րդ կետում</w:t>
            </w:r>
          </w:p>
          <w:p w:rsidR="00DB2252" w:rsidRPr="001D0F1A" w:rsidRDefault="00DB2252" w:rsidP="001D0F1A">
            <w:pPr>
              <w:pStyle w:val="ListParagraph"/>
              <w:spacing w:after="0" w:line="240" w:lineRule="auto"/>
              <w:ind w:left="0"/>
              <w:jc w:val="both"/>
              <w:rPr>
                <w:rFonts w:ascii="GHEA Grapalat" w:hAnsi="GHEA Grapalat"/>
                <w:color w:val="000000"/>
                <w:shd w:val="clear" w:color="auto" w:fill="FFFFFF"/>
                <w:lang w:val="hy-AM"/>
              </w:rPr>
            </w:pPr>
            <w:r w:rsidRPr="001D0F1A">
              <w:rPr>
                <w:rFonts w:ascii="GHEA Grapalat" w:hAnsi="GHEA Grapalat"/>
                <w:color w:val="000000"/>
                <w:shd w:val="clear" w:color="auto" w:fill="FFFFFF"/>
                <w:lang w:val="hy-AM"/>
              </w:rPr>
              <w:t>1-ին ենթակետի «ուսումնական հաստատության սովորողների թիվ» բառերը նպատակահարմար է փոխարինել «ուսանողների թվի նվազման տենդենց» բառերով,</w:t>
            </w:r>
          </w:p>
        </w:tc>
        <w:tc>
          <w:tcPr>
            <w:tcW w:w="1620" w:type="dxa"/>
          </w:tcPr>
          <w:p w:rsidR="00DB2252" w:rsidRPr="001D0F1A" w:rsidRDefault="00DB2252" w:rsidP="001D0F1A">
            <w:pPr>
              <w:rPr>
                <w:rFonts w:ascii="GHEA Grapalat" w:hAnsi="GHEA Grapalat"/>
                <w:color w:val="222222"/>
                <w:sz w:val="22"/>
                <w:szCs w:val="22"/>
                <w:shd w:val="clear" w:color="auto" w:fill="FFFFFF"/>
                <w:lang w:val="hy-AM"/>
              </w:rPr>
            </w:pPr>
            <w:r w:rsidRPr="001D0F1A">
              <w:rPr>
                <w:rFonts w:ascii="GHEA Grapalat" w:hAnsi="GHEA Grapalat"/>
                <w:color w:val="222222"/>
                <w:sz w:val="22"/>
                <w:szCs w:val="22"/>
                <w:shd w:val="clear" w:color="auto" w:fill="FFFFFF"/>
                <w:lang w:val="hy-AM"/>
              </w:rPr>
              <w:t>Չի ընդունվել</w:t>
            </w:r>
          </w:p>
        </w:tc>
        <w:tc>
          <w:tcPr>
            <w:tcW w:w="4230" w:type="dxa"/>
          </w:tcPr>
          <w:p w:rsidR="00DB2252" w:rsidRPr="001D0F1A" w:rsidRDefault="00DB2252" w:rsidP="001D0F1A">
            <w:pPr>
              <w:jc w:val="both"/>
              <w:rPr>
                <w:rFonts w:ascii="GHEA Grapalat" w:hAnsi="GHEA Grapalat"/>
                <w:spacing w:val="-1"/>
                <w:sz w:val="22"/>
                <w:szCs w:val="22"/>
                <w:lang w:val="af-ZA"/>
              </w:rPr>
            </w:pPr>
            <w:r w:rsidRPr="001D0F1A">
              <w:rPr>
                <w:rFonts w:ascii="GHEA Grapalat" w:hAnsi="GHEA Grapalat"/>
                <w:spacing w:val="-1"/>
                <w:sz w:val="22"/>
                <w:szCs w:val="22"/>
                <w:lang w:val="af-ZA"/>
              </w:rPr>
              <w:t>«ուսումնական հաստատության սովորողների թիվ» բառերը «ուսանողների թվի</w:t>
            </w:r>
            <w:r w:rsidRPr="001D0F1A">
              <w:rPr>
                <w:rFonts w:ascii="GHEA Grapalat" w:hAnsi="GHEA Grapalat"/>
                <w:spacing w:val="-1"/>
                <w:sz w:val="22"/>
                <w:szCs w:val="22"/>
                <w:lang w:val="hy-AM"/>
              </w:rPr>
              <w:t xml:space="preserve"> </w:t>
            </w:r>
            <w:r w:rsidRPr="001D0F1A">
              <w:rPr>
                <w:rFonts w:ascii="GHEA Grapalat" w:hAnsi="GHEA Grapalat"/>
                <w:spacing w:val="-1"/>
                <w:sz w:val="22"/>
                <w:szCs w:val="22"/>
                <w:lang w:val="af-ZA"/>
              </w:rPr>
              <w:t>նվազման տենդենց» բառերով փոխարինել</w:t>
            </w:r>
            <w:r w:rsidRPr="001D0F1A">
              <w:rPr>
                <w:rFonts w:ascii="GHEA Grapalat" w:hAnsi="GHEA Grapalat"/>
                <w:spacing w:val="-1"/>
                <w:sz w:val="22"/>
                <w:szCs w:val="22"/>
                <w:lang w:val="hy-AM"/>
              </w:rPr>
              <w:t>ու կարիք չկա</w:t>
            </w:r>
            <w:r w:rsidRPr="001D0F1A">
              <w:rPr>
                <w:rFonts w:ascii="GHEA Grapalat" w:hAnsi="GHEA Grapalat"/>
                <w:spacing w:val="-1"/>
                <w:sz w:val="22"/>
                <w:szCs w:val="22"/>
                <w:lang w:val="af-ZA"/>
              </w:rPr>
              <w:t xml:space="preserve">, քանի որ </w:t>
            </w:r>
            <w:r w:rsidRPr="001D0F1A">
              <w:rPr>
                <w:rFonts w:ascii="GHEA Grapalat" w:hAnsi="GHEA Grapalat"/>
                <w:spacing w:val="-1"/>
                <w:sz w:val="22"/>
                <w:szCs w:val="22"/>
                <w:lang w:val="hy-AM"/>
              </w:rPr>
              <w:t>37-րդ կետի 3-րդ ենթակետը ներառում է ձեր առաջարկը</w:t>
            </w:r>
            <w:r w:rsidRPr="001D0F1A">
              <w:rPr>
                <w:rFonts w:ascii="GHEA Grapalat" w:hAnsi="GHEA Grapalat"/>
                <w:spacing w:val="-1"/>
                <w:sz w:val="22"/>
                <w:szCs w:val="22"/>
                <w:lang w:val="af-ZA"/>
              </w:rPr>
              <w:t>:</w:t>
            </w:r>
          </w:p>
          <w:p w:rsidR="00DB2252" w:rsidRPr="001D0F1A" w:rsidRDefault="00DB2252" w:rsidP="001D0F1A">
            <w:pPr>
              <w:jc w:val="both"/>
              <w:rPr>
                <w:rFonts w:ascii="GHEA Grapalat" w:hAnsi="GHEA Grapalat"/>
                <w:spacing w:val="-1"/>
                <w:sz w:val="22"/>
                <w:szCs w:val="22"/>
                <w:lang w:val="af-ZA"/>
              </w:rPr>
            </w:pPr>
          </w:p>
        </w:tc>
      </w:tr>
      <w:tr w:rsidR="00DB2252" w:rsidRPr="001D0F1A" w:rsidTr="0079125D">
        <w:trPr>
          <w:trHeight w:val="2147"/>
        </w:trPr>
        <w:tc>
          <w:tcPr>
            <w:tcW w:w="288" w:type="dxa"/>
            <w:vMerge/>
          </w:tcPr>
          <w:p w:rsidR="00DB2252" w:rsidRPr="001D0F1A" w:rsidRDefault="00DB2252" w:rsidP="001D0F1A">
            <w:pPr>
              <w:jc w:val="both"/>
              <w:rPr>
                <w:rFonts w:ascii="GHEA Grapalat" w:hAnsi="GHEA Grapalat"/>
                <w:spacing w:val="-1"/>
                <w:sz w:val="22"/>
                <w:szCs w:val="22"/>
                <w:lang w:val="hy-AM"/>
              </w:rPr>
            </w:pPr>
          </w:p>
        </w:tc>
        <w:tc>
          <w:tcPr>
            <w:tcW w:w="2372" w:type="dxa"/>
            <w:vMerge/>
          </w:tcPr>
          <w:p w:rsidR="00DB2252" w:rsidRPr="001D0F1A" w:rsidRDefault="00DB2252" w:rsidP="001D0F1A">
            <w:pPr>
              <w:ind w:right="-108"/>
              <w:jc w:val="both"/>
              <w:rPr>
                <w:rFonts w:ascii="GHEA Grapalat" w:hAnsi="GHEA Grapalat"/>
                <w:spacing w:val="-1"/>
                <w:sz w:val="22"/>
                <w:szCs w:val="22"/>
                <w:lang w:val="hy-AM"/>
              </w:rPr>
            </w:pPr>
          </w:p>
        </w:tc>
        <w:tc>
          <w:tcPr>
            <w:tcW w:w="6718" w:type="dxa"/>
          </w:tcPr>
          <w:p w:rsidR="00DB2252" w:rsidRPr="001D0F1A" w:rsidRDefault="00DB2252" w:rsidP="001D0F1A">
            <w:pPr>
              <w:pStyle w:val="ListParagraph"/>
              <w:spacing w:after="0" w:line="240" w:lineRule="auto"/>
              <w:ind w:left="0"/>
              <w:jc w:val="both"/>
              <w:rPr>
                <w:rFonts w:ascii="GHEA Grapalat" w:hAnsi="GHEA Grapalat"/>
                <w:color w:val="000000"/>
                <w:shd w:val="clear" w:color="auto" w:fill="FFFFFF"/>
                <w:lang w:val="hy-AM"/>
              </w:rPr>
            </w:pPr>
            <w:r w:rsidRPr="001D0F1A">
              <w:rPr>
                <w:rFonts w:ascii="GHEA Grapalat" w:hAnsi="GHEA Grapalat"/>
                <w:color w:val="000000"/>
                <w:shd w:val="clear" w:color="auto" w:fill="FFFFFF"/>
                <w:lang w:val="hy-AM"/>
              </w:rPr>
              <w:t>4-րդ ենթակետի «ուսումնական հաստատության կողմից համապատասխան լիցենզիայի առկայության դեպքում տվյալ մասնագիտությամբ առնվազն երեք տարի անընդմեջ կրթական գործընթաց չիրականացնելը» բառերը փոխարինել  «ուսումնական հաստատության կողմից պետական լիազորված մարմնի հատկացրած տեղերում 3 տարի անընդմեջ ընդունելություն չիրականացնելը» բառերով,</w:t>
            </w:r>
          </w:p>
        </w:tc>
        <w:tc>
          <w:tcPr>
            <w:tcW w:w="1620" w:type="dxa"/>
          </w:tcPr>
          <w:p w:rsidR="00DB2252" w:rsidRPr="001D0F1A" w:rsidRDefault="00D55045" w:rsidP="001D0F1A">
            <w:pPr>
              <w:rPr>
                <w:rFonts w:ascii="GHEA Grapalat" w:hAnsi="GHEA Grapalat"/>
                <w:color w:val="222222"/>
                <w:sz w:val="22"/>
                <w:szCs w:val="22"/>
                <w:shd w:val="clear" w:color="auto" w:fill="FFFFFF"/>
                <w:lang w:val="hy-AM"/>
              </w:rPr>
            </w:pPr>
            <w:r w:rsidRPr="001D0F1A">
              <w:rPr>
                <w:rFonts w:ascii="GHEA Grapalat" w:hAnsi="GHEA Grapalat"/>
                <w:color w:val="222222"/>
                <w:sz w:val="22"/>
                <w:szCs w:val="22"/>
                <w:shd w:val="clear" w:color="auto" w:fill="FFFFFF"/>
                <w:lang w:val="hy-AM"/>
              </w:rPr>
              <w:t>Ընդունվել է</w:t>
            </w:r>
          </w:p>
        </w:tc>
        <w:tc>
          <w:tcPr>
            <w:tcW w:w="4230" w:type="dxa"/>
          </w:tcPr>
          <w:p w:rsidR="00DB2252" w:rsidRPr="001D0F1A" w:rsidRDefault="00D55045" w:rsidP="001D0F1A">
            <w:pPr>
              <w:rPr>
                <w:rFonts w:ascii="GHEA Grapalat" w:hAnsi="GHEA Grapalat"/>
                <w:spacing w:val="-1"/>
                <w:sz w:val="22"/>
                <w:szCs w:val="22"/>
                <w:lang w:val="af-ZA"/>
              </w:rPr>
            </w:pPr>
            <w:r w:rsidRPr="001D0F1A">
              <w:rPr>
                <w:rFonts w:ascii="GHEA Grapalat" w:hAnsi="GHEA Grapalat"/>
                <w:spacing w:val="-1"/>
                <w:sz w:val="22"/>
                <w:szCs w:val="22"/>
                <w:lang w:val="af-ZA"/>
              </w:rPr>
              <w:t>Կատարվել են համապատասխան փոփոխություններ</w:t>
            </w:r>
          </w:p>
        </w:tc>
      </w:tr>
      <w:tr w:rsidR="00D55045" w:rsidRPr="001D0F1A" w:rsidTr="0079125D">
        <w:trPr>
          <w:trHeight w:val="1965"/>
        </w:trPr>
        <w:tc>
          <w:tcPr>
            <w:tcW w:w="288" w:type="dxa"/>
            <w:vMerge/>
          </w:tcPr>
          <w:p w:rsidR="00D55045" w:rsidRPr="001D0F1A" w:rsidRDefault="00D55045" w:rsidP="001D0F1A">
            <w:pPr>
              <w:jc w:val="both"/>
              <w:rPr>
                <w:rFonts w:ascii="GHEA Grapalat" w:hAnsi="GHEA Grapalat"/>
                <w:spacing w:val="-1"/>
                <w:sz w:val="22"/>
                <w:szCs w:val="22"/>
                <w:lang w:val="hy-AM"/>
              </w:rPr>
            </w:pPr>
          </w:p>
        </w:tc>
        <w:tc>
          <w:tcPr>
            <w:tcW w:w="2372" w:type="dxa"/>
            <w:vMerge/>
          </w:tcPr>
          <w:p w:rsidR="00D55045" w:rsidRPr="001D0F1A" w:rsidRDefault="00D55045" w:rsidP="001D0F1A">
            <w:pPr>
              <w:ind w:right="-108"/>
              <w:jc w:val="both"/>
              <w:rPr>
                <w:rFonts w:ascii="GHEA Grapalat" w:hAnsi="GHEA Grapalat"/>
                <w:spacing w:val="-1"/>
                <w:sz w:val="22"/>
                <w:szCs w:val="22"/>
                <w:lang w:val="hy-AM"/>
              </w:rPr>
            </w:pPr>
          </w:p>
        </w:tc>
        <w:tc>
          <w:tcPr>
            <w:tcW w:w="6718" w:type="dxa"/>
          </w:tcPr>
          <w:p w:rsidR="00D55045" w:rsidRPr="001D0F1A" w:rsidRDefault="00D55045" w:rsidP="001D0F1A">
            <w:pPr>
              <w:pStyle w:val="ListParagraph"/>
              <w:spacing w:after="0" w:line="240" w:lineRule="auto"/>
              <w:ind w:left="0"/>
              <w:jc w:val="both"/>
              <w:rPr>
                <w:rFonts w:ascii="GHEA Grapalat" w:hAnsi="GHEA Grapalat"/>
                <w:color w:val="000000"/>
                <w:shd w:val="clear" w:color="auto" w:fill="FFFFFF"/>
                <w:lang w:val="hy-AM"/>
              </w:rPr>
            </w:pPr>
            <w:r w:rsidRPr="001D0F1A">
              <w:rPr>
                <w:rFonts w:ascii="GHEA Grapalat" w:hAnsi="GHEA Grapalat"/>
                <w:color w:val="000000"/>
                <w:shd w:val="clear" w:color="auto" w:fill="FFFFFF"/>
                <w:lang w:val="hy-AM"/>
              </w:rPr>
              <w:t xml:space="preserve">ավելացնել նոր ենթակետ հետևյալ բովանդակությամբ. «ուսումնական հաստատության շրջանավարտների աշխատանքի տեղավորման ցուցանիշ, որը չի ներառում ԲՈՒՀ տեղափոխված կամ ընդունված, ազգային բանակ զորակոչված, արտերկիր մեկնած շրջանավարտներին»: </w:t>
            </w:r>
          </w:p>
        </w:tc>
        <w:tc>
          <w:tcPr>
            <w:tcW w:w="1620" w:type="dxa"/>
          </w:tcPr>
          <w:p w:rsidR="00D55045" w:rsidRPr="001D0F1A" w:rsidRDefault="00D55045" w:rsidP="001D0F1A">
            <w:pPr>
              <w:rPr>
                <w:rFonts w:ascii="GHEA Grapalat" w:hAnsi="GHEA Grapalat"/>
                <w:color w:val="222222"/>
                <w:sz w:val="22"/>
                <w:szCs w:val="22"/>
                <w:shd w:val="clear" w:color="auto" w:fill="FFFFFF"/>
                <w:lang w:val="hy-AM"/>
              </w:rPr>
            </w:pPr>
            <w:r w:rsidRPr="001D0F1A">
              <w:rPr>
                <w:rFonts w:ascii="GHEA Grapalat" w:hAnsi="GHEA Grapalat"/>
                <w:color w:val="222222"/>
                <w:sz w:val="22"/>
                <w:szCs w:val="22"/>
                <w:shd w:val="clear" w:color="auto" w:fill="FFFFFF"/>
                <w:lang w:val="hy-AM"/>
              </w:rPr>
              <w:t>Չի ընդունվել</w:t>
            </w:r>
          </w:p>
        </w:tc>
        <w:tc>
          <w:tcPr>
            <w:tcW w:w="4230" w:type="dxa"/>
          </w:tcPr>
          <w:p w:rsidR="00D55045" w:rsidRPr="001D0F1A" w:rsidRDefault="00D55045" w:rsidP="001D0F1A">
            <w:pPr>
              <w:jc w:val="both"/>
              <w:rPr>
                <w:rFonts w:ascii="GHEA Grapalat" w:hAnsi="GHEA Grapalat"/>
                <w:spacing w:val="-1"/>
                <w:sz w:val="22"/>
                <w:szCs w:val="22"/>
                <w:lang w:val="af-ZA"/>
              </w:rPr>
            </w:pPr>
            <w:r w:rsidRPr="001D0F1A">
              <w:rPr>
                <w:rFonts w:ascii="GHEA Grapalat" w:hAnsi="GHEA Grapalat"/>
                <w:spacing w:val="-1"/>
                <w:sz w:val="22"/>
                <w:szCs w:val="22"/>
                <w:lang w:val="hy-AM"/>
              </w:rPr>
              <w:t xml:space="preserve">Սկզբունքորեն ձեր առաջարկը ընդունելի է, սակայն իրականացման հետ կապված կան խնդիրներ տեղեկատվության բացակայության հետ կապված: </w:t>
            </w:r>
            <w:r w:rsidRPr="001D0F1A">
              <w:rPr>
                <w:rFonts w:ascii="GHEA Grapalat" w:hAnsi="GHEA Grapalat"/>
                <w:spacing w:val="-1"/>
                <w:sz w:val="22"/>
                <w:szCs w:val="22"/>
                <w:lang w:val="af-ZA"/>
              </w:rPr>
              <w:t>Հնարավոր է՝</w:t>
            </w:r>
            <w:r w:rsidRPr="001D0F1A">
              <w:rPr>
                <w:rFonts w:ascii="GHEA Grapalat" w:hAnsi="GHEA Grapalat"/>
                <w:spacing w:val="-1"/>
                <w:sz w:val="22"/>
                <w:szCs w:val="22"/>
                <w:lang w:val="hy-AM"/>
              </w:rPr>
              <w:t xml:space="preserve"> </w:t>
            </w:r>
            <w:r w:rsidRPr="001D0F1A">
              <w:rPr>
                <w:rFonts w:ascii="GHEA Grapalat" w:hAnsi="GHEA Grapalat"/>
                <w:spacing w:val="-1"/>
                <w:sz w:val="22"/>
                <w:szCs w:val="22"/>
                <w:lang w:val="af-ZA"/>
              </w:rPr>
              <w:t xml:space="preserve">հետագայում </w:t>
            </w:r>
            <w:r w:rsidRPr="001D0F1A">
              <w:rPr>
                <w:rFonts w:ascii="GHEA Grapalat" w:hAnsi="GHEA Grapalat"/>
                <w:spacing w:val="-1"/>
                <w:sz w:val="22"/>
                <w:szCs w:val="22"/>
                <w:lang w:val="hy-AM"/>
              </w:rPr>
              <w:t xml:space="preserve">տեղեկատվական բազայի </w:t>
            </w:r>
            <w:r w:rsidRPr="001D0F1A">
              <w:rPr>
                <w:rFonts w:ascii="GHEA Grapalat" w:hAnsi="GHEA Grapalat"/>
                <w:spacing w:val="-1"/>
                <w:sz w:val="22"/>
                <w:szCs w:val="22"/>
                <w:lang w:val="af-ZA"/>
              </w:rPr>
              <w:t>ստեղծ</w:t>
            </w:r>
            <w:r w:rsidRPr="001D0F1A">
              <w:rPr>
                <w:rFonts w:ascii="GHEA Grapalat" w:hAnsi="GHEA Grapalat"/>
                <w:spacing w:val="-1"/>
                <w:sz w:val="22"/>
                <w:szCs w:val="22"/>
                <w:lang w:val="hy-AM"/>
              </w:rPr>
              <w:t>ումից հետո ապահովել այս կետի կատարումը:</w:t>
            </w:r>
          </w:p>
        </w:tc>
      </w:tr>
      <w:tr w:rsidR="00D55045" w:rsidRPr="001D0F1A" w:rsidTr="0079125D">
        <w:trPr>
          <w:trHeight w:val="1517"/>
        </w:trPr>
        <w:tc>
          <w:tcPr>
            <w:tcW w:w="288" w:type="dxa"/>
            <w:vMerge/>
          </w:tcPr>
          <w:p w:rsidR="00D55045" w:rsidRPr="001D0F1A" w:rsidRDefault="00D55045" w:rsidP="001D0F1A">
            <w:pPr>
              <w:jc w:val="both"/>
              <w:rPr>
                <w:rFonts w:ascii="GHEA Grapalat" w:hAnsi="GHEA Grapalat"/>
                <w:spacing w:val="-1"/>
                <w:sz w:val="22"/>
                <w:szCs w:val="22"/>
                <w:lang w:val="hy-AM"/>
              </w:rPr>
            </w:pPr>
          </w:p>
        </w:tc>
        <w:tc>
          <w:tcPr>
            <w:tcW w:w="2372" w:type="dxa"/>
            <w:vMerge/>
          </w:tcPr>
          <w:p w:rsidR="00D55045" w:rsidRPr="001D0F1A" w:rsidRDefault="00D55045" w:rsidP="001D0F1A">
            <w:pPr>
              <w:ind w:right="-108"/>
              <w:jc w:val="both"/>
              <w:rPr>
                <w:rFonts w:ascii="GHEA Grapalat" w:hAnsi="GHEA Grapalat"/>
                <w:spacing w:val="-1"/>
                <w:sz w:val="22"/>
                <w:szCs w:val="22"/>
                <w:lang w:val="hy-AM"/>
              </w:rPr>
            </w:pPr>
          </w:p>
        </w:tc>
        <w:tc>
          <w:tcPr>
            <w:tcW w:w="6718" w:type="dxa"/>
          </w:tcPr>
          <w:p w:rsidR="00D55045" w:rsidRPr="001D0F1A" w:rsidRDefault="00C92F3C" w:rsidP="001D0F1A">
            <w:pPr>
              <w:pStyle w:val="ListParagraph"/>
              <w:spacing w:after="0" w:line="240" w:lineRule="auto"/>
              <w:ind w:left="0"/>
              <w:jc w:val="both"/>
              <w:rPr>
                <w:rFonts w:ascii="GHEA Grapalat" w:hAnsi="GHEA Grapalat"/>
                <w:color w:val="000000"/>
                <w:shd w:val="clear" w:color="auto" w:fill="FFFFFF"/>
                <w:lang w:val="hy-AM"/>
              </w:rPr>
            </w:pPr>
            <w:r w:rsidRPr="001D0F1A">
              <w:rPr>
                <w:rFonts w:ascii="GHEA Grapalat" w:hAnsi="GHEA Grapalat"/>
                <w:color w:val="000000"/>
                <w:shd w:val="clear" w:color="auto" w:fill="FFFFFF"/>
                <w:lang w:val="hy-AM"/>
              </w:rPr>
              <w:t xml:space="preserve">2. </w:t>
            </w:r>
            <w:r w:rsidR="00D55045" w:rsidRPr="001D0F1A">
              <w:rPr>
                <w:rFonts w:ascii="GHEA Grapalat" w:hAnsi="GHEA Grapalat"/>
                <w:color w:val="000000"/>
                <w:shd w:val="clear" w:color="auto" w:fill="FFFFFF"/>
                <w:lang w:val="hy-AM"/>
              </w:rPr>
              <w:t>«Ուսումնական հաստատությունների ռիսկի գնահատման համար կիրառվող տվյալների բազա» հոդվածում հստակեցնել տվյալների բազայից օգտվող կառույցներին (առաջարկվում է, որ տվյալների բազան հասանելի լինի նաև ՀՀ կրթության և գիտության նախարարությանը):</w:t>
            </w:r>
          </w:p>
        </w:tc>
        <w:tc>
          <w:tcPr>
            <w:tcW w:w="1620" w:type="dxa"/>
          </w:tcPr>
          <w:p w:rsidR="00D55045" w:rsidRPr="001D0F1A" w:rsidRDefault="00C92F3C" w:rsidP="001D0F1A">
            <w:pPr>
              <w:rPr>
                <w:rFonts w:ascii="GHEA Grapalat" w:hAnsi="GHEA Grapalat"/>
                <w:color w:val="222222"/>
                <w:sz w:val="22"/>
                <w:szCs w:val="22"/>
                <w:shd w:val="clear" w:color="auto" w:fill="FFFFFF"/>
                <w:lang w:val="hy-AM"/>
              </w:rPr>
            </w:pPr>
            <w:r w:rsidRPr="001D0F1A">
              <w:rPr>
                <w:rFonts w:ascii="GHEA Grapalat" w:hAnsi="GHEA Grapalat"/>
                <w:color w:val="222222"/>
                <w:sz w:val="22"/>
                <w:szCs w:val="22"/>
                <w:shd w:val="clear" w:color="auto" w:fill="FFFFFF"/>
                <w:lang w:val="hy-AM"/>
              </w:rPr>
              <w:t>Ընդունվել է</w:t>
            </w:r>
          </w:p>
        </w:tc>
        <w:tc>
          <w:tcPr>
            <w:tcW w:w="4230" w:type="dxa"/>
          </w:tcPr>
          <w:p w:rsidR="00D55045" w:rsidRPr="001D0F1A" w:rsidRDefault="00C92F3C" w:rsidP="001D0F1A">
            <w:pPr>
              <w:jc w:val="both"/>
              <w:rPr>
                <w:rFonts w:ascii="GHEA Grapalat" w:hAnsi="GHEA Grapalat"/>
                <w:spacing w:val="-1"/>
                <w:sz w:val="22"/>
                <w:szCs w:val="22"/>
                <w:lang w:val="af-ZA"/>
              </w:rPr>
            </w:pPr>
            <w:r w:rsidRPr="001D0F1A">
              <w:rPr>
                <w:rFonts w:ascii="GHEA Grapalat" w:hAnsi="GHEA Grapalat"/>
                <w:spacing w:val="-1"/>
                <w:sz w:val="22"/>
                <w:szCs w:val="22"/>
                <w:lang w:val="af-ZA"/>
              </w:rPr>
              <w:t xml:space="preserve">Սկզբունքորեն ձեր առաջարկը ընդունելի է,  հետագայում </w:t>
            </w:r>
            <w:r w:rsidRPr="001D0F1A">
              <w:rPr>
                <w:rFonts w:ascii="GHEA Grapalat" w:hAnsi="GHEA Grapalat"/>
                <w:spacing w:val="-1"/>
                <w:sz w:val="22"/>
                <w:szCs w:val="22"/>
                <w:lang w:val="hy-AM"/>
              </w:rPr>
              <w:t xml:space="preserve">տեղեկատվական բազայի </w:t>
            </w:r>
            <w:r w:rsidRPr="001D0F1A">
              <w:rPr>
                <w:rFonts w:ascii="GHEA Grapalat" w:hAnsi="GHEA Grapalat"/>
                <w:spacing w:val="-1"/>
                <w:sz w:val="22"/>
                <w:szCs w:val="22"/>
                <w:lang w:val="af-ZA"/>
              </w:rPr>
              <w:t>ստեղծ</w:t>
            </w:r>
            <w:r w:rsidRPr="001D0F1A">
              <w:rPr>
                <w:rFonts w:ascii="GHEA Grapalat" w:hAnsi="GHEA Grapalat"/>
                <w:spacing w:val="-1"/>
                <w:sz w:val="22"/>
                <w:szCs w:val="22"/>
                <w:lang w:val="hy-AM"/>
              </w:rPr>
              <w:t>ումից հետո այն հասանելի կլինի նաև ՀՀ կրթության նախարարությանը:</w:t>
            </w:r>
          </w:p>
        </w:tc>
      </w:tr>
      <w:tr w:rsidR="005024C6" w:rsidRPr="001D0F1A" w:rsidTr="0079125D">
        <w:trPr>
          <w:trHeight w:val="1070"/>
        </w:trPr>
        <w:tc>
          <w:tcPr>
            <w:tcW w:w="288" w:type="dxa"/>
            <w:vMerge w:val="restart"/>
          </w:tcPr>
          <w:p w:rsidR="005024C6" w:rsidRPr="00855EE2" w:rsidRDefault="005024C6" w:rsidP="005024C6">
            <w:pPr>
              <w:rPr>
                <w:rFonts w:ascii="GHEA Grapalat" w:hAnsi="GHEA Grapalat"/>
                <w:sz w:val="22"/>
                <w:szCs w:val="22"/>
                <w:lang w:val="hy-AM"/>
              </w:rPr>
            </w:pPr>
            <w:r>
              <w:rPr>
                <w:rFonts w:ascii="GHEA Grapalat" w:hAnsi="GHEA Grapalat"/>
                <w:sz w:val="22"/>
                <w:szCs w:val="22"/>
                <w:lang w:val="hy-AM"/>
              </w:rPr>
              <w:t>4</w:t>
            </w:r>
          </w:p>
        </w:tc>
        <w:tc>
          <w:tcPr>
            <w:tcW w:w="2372" w:type="dxa"/>
            <w:vMerge w:val="restart"/>
            <w:tcBorders>
              <w:top w:val="nil"/>
            </w:tcBorders>
          </w:tcPr>
          <w:p w:rsidR="005024C6" w:rsidRPr="001D0F1A" w:rsidRDefault="005024C6" w:rsidP="005024C6">
            <w:pPr>
              <w:rPr>
                <w:rFonts w:ascii="GHEA Grapalat" w:hAnsi="GHEA Grapalat"/>
                <w:sz w:val="22"/>
                <w:szCs w:val="22"/>
              </w:rPr>
            </w:pPr>
            <w:r w:rsidRPr="001D0F1A">
              <w:rPr>
                <w:rFonts w:ascii="GHEA Grapalat" w:hAnsi="GHEA Grapalat"/>
                <w:sz w:val="22"/>
                <w:szCs w:val="22"/>
              </w:rPr>
              <w:t>ՀՀ ֆինանսների նախարարություն</w:t>
            </w:r>
          </w:p>
        </w:tc>
        <w:tc>
          <w:tcPr>
            <w:tcW w:w="6718" w:type="dxa"/>
            <w:tcBorders>
              <w:top w:val="nil"/>
            </w:tcBorders>
          </w:tcPr>
          <w:p w:rsidR="005024C6" w:rsidRPr="001D0F1A" w:rsidRDefault="005024C6" w:rsidP="005024C6">
            <w:pPr>
              <w:jc w:val="both"/>
              <w:rPr>
                <w:rFonts w:ascii="GHEA Grapalat" w:hAnsi="GHEA Grapalat"/>
                <w:sz w:val="22"/>
                <w:szCs w:val="22"/>
              </w:rPr>
            </w:pPr>
            <w:r w:rsidRPr="001D0F1A">
              <w:rPr>
                <w:rFonts w:ascii="GHEA Grapalat" w:hAnsi="GHEA Grapalat"/>
                <w:sz w:val="22"/>
                <w:szCs w:val="22"/>
              </w:rPr>
              <w:t>Նախագծում ներկայացված մեթոդաբանությունը և ռիսկայնությունը որոշող չափանիշներն սպառիչ չեն, մեծամասամբ, բնութագրում են քանակական հատկանիշներ, ինչպես նաև չեն նպաստում «ՀՀ կրթության տեսչական մարմնի կանոնադրությունը հաստատելու մասին» ՀՀ վարչապետի 11.06.2018թ. N 729-Լ որոշմամբ սահմանված ՀՀ կրթության տեսչական մարմնի նպատակի իրագործմանը և վերջինիս լիազորությունների կատարմանը։ Ուստի, առաջարկում ենք լրամշակել նախագիծը՝ նախատեսելով ռիսկերի գնահատման այնպիսի որակական չափանիշներ, ինչպիսիք են, օրինակ, կրթության որակի, կրթության յուրացման, կրթական գործընթացի և կրթական ծառայությունների արդյունավետության գնահատման ցուցանիշները, այլ աղբյուրներից ստացված տեղեկությունները, բողոքները, մանկավարժական աշխատողների մասնագիտացման և որակավորման համապատասխանությունն՝ իրենց կողմից դասավանդվող առարկաներին</w:t>
            </w:r>
          </w:p>
        </w:tc>
        <w:tc>
          <w:tcPr>
            <w:tcW w:w="1620" w:type="dxa"/>
            <w:tcBorders>
              <w:top w:val="nil"/>
            </w:tcBorders>
          </w:tcPr>
          <w:p w:rsidR="005024C6" w:rsidRPr="001D0F1A" w:rsidRDefault="005024C6" w:rsidP="005024C6">
            <w:pPr>
              <w:rPr>
                <w:rFonts w:ascii="GHEA Grapalat" w:hAnsi="GHEA Grapalat"/>
                <w:color w:val="222222"/>
                <w:sz w:val="22"/>
                <w:szCs w:val="22"/>
                <w:shd w:val="clear" w:color="auto" w:fill="FFFFFF"/>
                <w:lang w:val="hy-AM"/>
              </w:rPr>
            </w:pPr>
            <w:r w:rsidRPr="001D0F1A">
              <w:rPr>
                <w:rFonts w:ascii="GHEA Grapalat" w:hAnsi="GHEA Grapalat"/>
                <w:color w:val="222222"/>
                <w:sz w:val="22"/>
                <w:szCs w:val="22"/>
                <w:shd w:val="clear" w:color="auto" w:fill="FFFFFF"/>
                <w:lang w:val="hy-AM"/>
              </w:rPr>
              <w:t>Չի ընդունվել</w:t>
            </w:r>
          </w:p>
        </w:tc>
        <w:tc>
          <w:tcPr>
            <w:tcW w:w="4230" w:type="dxa"/>
            <w:tcBorders>
              <w:top w:val="nil"/>
            </w:tcBorders>
          </w:tcPr>
          <w:p w:rsidR="005024C6" w:rsidRPr="005024C6" w:rsidRDefault="005024C6" w:rsidP="005024C6">
            <w:pPr>
              <w:tabs>
                <w:tab w:val="left" w:pos="851"/>
              </w:tabs>
              <w:jc w:val="both"/>
              <w:rPr>
                <w:rFonts w:ascii="GHEA Grapalat" w:hAnsi="GHEA Grapalat"/>
                <w:sz w:val="22"/>
                <w:szCs w:val="22"/>
                <w:lang w:val="hy-AM"/>
              </w:rPr>
            </w:pPr>
            <w:r w:rsidRPr="005024C6">
              <w:rPr>
                <w:rFonts w:ascii="GHEA Grapalat" w:hAnsi="GHEA Grapalat"/>
                <w:sz w:val="22"/>
                <w:szCs w:val="22"/>
                <w:lang w:val="hy-AM"/>
              </w:rPr>
              <w:t xml:space="preserve">Նախագծում ներկայացված ռիսկայնությունը որոշող չափանիշները չեն կարող լինել կրթության որակին, կրթության յուրացմանը, կրթական գործընթացի և կրթական ծառայությունների արդյունավետության, մանկավարժական աշխատողների մասնագիտացման և որակավորման համապատասխանությանը վերաբերող տվյալներ, քանի որ հաստատությունների կրթական գործընթացի ուսումնասիրությունների արդյունքների վերլուծությունները և փաստացի ստուգումների (ուսումնասիրությունների) արդյունքների համադրումը ցույց են տվել, որ ուսումնական </w:t>
            </w:r>
            <w:r w:rsidRPr="005024C6">
              <w:rPr>
                <w:rFonts w:ascii="GHEA Grapalat" w:hAnsi="GHEA Grapalat"/>
                <w:sz w:val="22"/>
                <w:szCs w:val="22"/>
                <w:lang w:val="hy-AM"/>
              </w:rPr>
              <w:lastRenderedPageBreak/>
              <w:t xml:space="preserve">հաստատություններից ներկայացված տվյալները հիմնականում չեն համապատասխանում իրականությանը և վերահսկելի չեն: Հաստատության կողմից կրթության որակին վերաբերող ցուցանիշները հիմնականում ներկայացվում են իրականից ավելի բարձր, ինչը չի համապատասխանում փաստացի ուսումնասիրությունների արդյունքներին: </w:t>
            </w:r>
          </w:p>
          <w:p w:rsidR="005024C6" w:rsidRPr="005024C6" w:rsidRDefault="005024C6" w:rsidP="005024C6">
            <w:pPr>
              <w:jc w:val="both"/>
              <w:rPr>
                <w:rFonts w:ascii="GHEA Grapalat" w:hAnsi="GHEA Grapalat"/>
                <w:sz w:val="22"/>
                <w:szCs w:val="22"/>
              </w:rPr>
            </w:pPr>
            <w:r w:rsidRPr="005024C6">
              <w:rPr>
                <w:rFonts w:ascii="GHEA Grapalat" w:hAnsi="GHEA Grapalat"/>
                <w:sz w:val="22"/>
                <w:szCs w:val="22"/>
              </w:rPr>
              <w:t>Որակական չափանիշների նկատմամբ վերահսկողություն իրականացվում է ստուգաթերթերի միջոցով՝ փաստացի ստուգումների ժամանակ:</w:t>
            </w:r>
          </w:p>
        </w:tc>
      </w:tr>
      <w:tr w:rsidR="005024C6" w:rsidRPr="001D0F1A" w:rsidTr="0079125D">
        <w:trPr>
          <w:trHeight w:val="1920"/>
        </w:trPr>
        <w:tc>
          <w:tcPr>
            <w:tcW w:w="288" w:type="dxa"/>
            <w:vMerge/>
          </w:tcPr>
          <w:p w:rsidR="005024C6" w:rsidRPr="001D0F1A" w:rsidRDefault="005024C6" w:rsidP="005024C6">
            <w:pPr>
              <w:rPr>
                <w:rFonts w:ascii="GHEA Grapalat" w:eastAsia="Calibri" w:hAnsi="GHEA Grapalat"/>
                <w:color w:val="000000"/>
                <w:sz w:val="22"/>
                <w:szCs w:val="22"/>
                <w:shd w:val="clear" w:color="auto" w:fill="FFFFFF"/>
                <w:lang w:val="hy-AM" w:eastAsia="en-US"/>
              </w:rPr>
            </w:pPr>
          </w:p>
        </w:tc>
        <w:tc>
          <w:tcPr>
            <w:tcW w:w="2372" w:type="dxa"/>
            <w:vMerge/>
            <w:tcBorders>
              <w:top w:val="nil"/>
            </w:tcBorders>
          </w:tcPr>
          <w:p w:rsidR="005024C6" w:rsidRPr="001D0F1A" w:rsidRDefault="005024C6" w:rsidP="005024C6">
            <w:pPr>
              <w:rPr>
                <w:rFonts w:ascii="GHEA Grapalat" w:eastAsia="Calibri" w:hAnsi="GHEA Grapalat"/>
                <w:color w:val="000000"/>
                <w:sz w:val="22"/>
                <w:szCs w:val="22"/>
                <w:shd w:val="clear" w:color="auto" w:fill="FFFFFF"/>
                <w:lang w:val="hy-AM" w:eastAsia="en-US"/>
              </w:rPr>
            </w:pPr>
          </w:p>
        </w:tc>
        <w:tc>
          <w:tcPr>
            <w:tcW w:w="6718" w:type="dxa"/>
            <w:tcBorders>
              <w:top w:val="nil"/>
            </w:tcBorders>
          </w:tcPr>
          <w:p w:rsidR="005024C6" w:rsidRPr="001D0F1A" w:rsidRDefault="005024C6" w:rsidP="001A7A87">
            <w:pPr>
              <w:widowControl w:val="0"/>
              <w:overflowPunct w:val="0"/>
              <w:autoSpaceDE w:val="0"/>
              <w:autoSpaceDN w:val="0"/>
              <w:adjustRightInd w:val="0"/>
              <w:jc w:val="both"/>
              <w:textAlignment w:val="baseline"/>
              <w:rPr>
                <w:rFonts w:ascii="GHEA Grapalat" w:hAnsi="GHEA Grapalat" w:cs="Sylfaen"/>
                <w:sz w:val="22"/>
                <w:szCs w:val="22"/>
                <w:lang w:val="hy-AM"/>
              </w:rPr>
            </w:pPr>
            <w:r w:rsidRPr="001D0F1A">
              <w:rPr>
                <w:rFonts w:ascii="GHEA Grapalat" w:hAnsi="GHEA Grapalat" w:cs="Sylfaen"/>
                <w:sz w:val="22"/>
                <w:szCs w:val="22"/>
                <w:lang w:val="hy-AM"/>
              </w:rPr>
              <w:t>1.Նախագծի 3-րդ կետը վերախմբագրել հետևյալ բովանդակությամբ` «3. Կրթական գործունեության տեսանկյունից ուսումնական հաստատության ռիսկը վերջինիս կանոնադրական խնդիրների, լիազորությունների և ռազմավարական նպատակների չիրականացման կամ ոչ պատշաճ կերպով իրականացման բացասական հետևանքների առաջացման հավանականությունն է»:</w:t>
            </w:r>
          </w:p>
        </w:tc>
        <w:tc>
          <w:tcPr>
            <w:tcW w:w="1620" w:type="dxa"/>
            <w:tcBorders>
              <w:top w:val="nil"/>
            </w:tcBorders>
          </w:tcPr>
          <w:p w:rsidR="005024C6" w:rsidRPr="001D0F1A" w:rsidRDefault="005024C6" w:rsidP="005024C6">
            <w:pPr>
              <w:rPr>
                <w:rFonts w:ascii="GHEA Grapalat" w:hAnsi="GHEA Grapalat"/>
                <w:color w:val="222222"/>
                <w:sz w:val="22"/>
                <w:szCs w:val="22"/>
                <w:shd w:val="clear" w:color="auto" w:fill="FFFFFF"/>
                <w:lang w:val="hy-AM"/>
              </w:rPr>
            </w:pPr>
            <w:r w:rsidRPr="001D0F1A">
              <w:rPr>
                <w:rFonts w:ascii="GHEA Grapalat" w:hAnsi="GHEA Grapalat"/>
                <w:color w:val="222222"/>
                <w:sz w:val="22"/>
                <w:szCs w:val="22"/>
                <w:shd w:val="clear" w:color="auto" w:fill="FFFFFF"/>
                <w:lang w:val="hy-AM"/>
              </w:rPr>
              <w:t>Ընդունվել է</w:t>
            </w:r>
          </w:p>
        </w:tc>
        <w:tc>
          <w:tcPr>
            <w:tcW w:w="4230" w:type="dxa"/>
            <w:tcBorders>
              <w:top w:val="nil"/>
            </w:tcBorders>
          </w:tcPr>
          <w:p w:rsidR="005024C6" w:rsidRPr="001D0F1A" w:rsidRDefault="005024C6" w:rsidP="00FE5EC2">
            <w:pPr>
              <w:jc w:val="both"/>
              <w:rPr>
                <w:rFonts w:ascii="GHEA Grapalat" w:hAnsi="GHEA Grapalat"/>
                <w:spacing w:val="-1"/>
                <w:sz w:val="22"/>
                <w:szCs w:val="22"/>
                <w:lang w:val="af-ZA"/>
              </w:rPr>
            </w:pPr>
            <w:r>
              <w:rPr>
                <w:rFonts w:ascii="GHEA Grapalat" w:hAnsi="GHEA Grapalat"/>
                <w:spacing w:val="-1"/>
                <w:sz w:val="22"/>
                <w:szCs w:val="22"/>
                <w:lang w:val="hy-AM"/>
              </w:rPr>
              <w:t>Ա</w:t>
            </w:r>
            <w:r w:rsidRPr="001D0F1A">
              <w:rPr>
                <w:rFonts w:ascii="GHEA Grapalat" w:hAnsi="GHEA Grapalat"/>
                <w:spacing w:val="-1"/>
                <w:sz w:val="22"/>
                <w:szCs w:val="22"/>
                <w:lang w:val="hy-AM"/>
              </w:rPr>
              <w:t>ռաջարկ</w:t>
            </w:r>
            <w:r>
              <w:rPr>
                <w:rFonts w:ascii="GHEA Grapalat" w:hAnsi="GHEA Grapalat"/>
                <w:spacing w:val="-1"/>
                <w:sz w:val="22"/>
                <w:szCs w:val="22"/>
                <w:lang w:val="hy-AM"/>
              </w:rPr>
              <w:t>ն</w:t>
            </w:r>
            <w:r w:rsidRPr="001D0F1A">
              <w:rPr>
                <w:rFonts w:ascii="GHEA Grapalat" w:hAnsi="GHEA Grapalat"/>
                <w:spacing w:val="-1"/>
                <w:sz w:val="22"/>
                <w:szCs w:val="22"/>
                <w:lang w:val="hy-AM"/>
              </w:rPr>
              <w:t xml:space="preserve"> ընդունելի է</w:t>
            </w:r>
            <w:r>
              <w:rPr>
                <w:rFonts w:ascii="GHEA Grapalat" w:hAnsi="GHEA Grapalat"/>
                <w:spacing w:val="-1"/>
                <w:sz w:val="22"/>
                <w:szCs w:val="22"/>
                <w:lang w:val="hy-AM"/>
              </w:rPr>
              <w:t xml:space="preserve"> մասամբ: </w:t>
            </w:r>
            <w:r w:rsidR="00FE5EC2">
              <w:rPr>
                <w:rFonts w:ascii="GHEA Grapalat" w:hAnsi="GHEA Grapalat"/>
                <w:spacing w:val="-1"/>
                <w:sz w:val="22"/>
                <w:szCs w:val="22"/>
                <w:lang w:val="hy-AM"/>
              </w:rPr>
              <w:t>Վ</w:t>
            </w:r>
            <w:r>
              <w:rPr>
                <w:rFonts w:ascii="GHEA Grapalat" w:hAnsi="GHEA Grapalat"/>
                <w:spacing w:val="-1"/>
                <w:sz w:val="22"/>
                <w:szCs w:val="22"/>
                <w:lang w:val="hy-AM"/>
              </w:rPr>
              <w:t>երաձևակերպվ</w:t>
            </w:r>
            <w:r w:rsidR="00FE5EC2">
              <w:rPr>
                <w:rFonts w:ascii="GHEA Grapalat" w:hAnsi="GHEA Grapalat"/>
                <w:spacing w:val="-1"/>
                <w:sz w:val="22"/>
                <w:szCs w:val="22"/>
                <w:lang w:val="hy-AM"/>
              </w:rPr>
              <w:t>ել է</w:t>
            </w:r>
            <w:r>
              <w:rPr>
                <w:rFonts w:ascii="GHEA Grapalat" w:hAnsi="GHEA Grapalat"/>
                <w:spacing w:val="-1"/>
                <w:sz w:val="22"/>
                <w:szCs w:val="22"/>
                <w:lang w:val="hy-AM"/>
              </w:rPr>
              <w:t xml:space="preserve"> Ռիսկի սահմանումը:</w:t>
            </w:r>
          </w:p>
        </w:tc>
      </w:tr>
      <w:tr w:rsidR="001A7A87" w:rsidRPr="001D0F1A" w:rsidTr="0079125D">
        <w:trPr>
          <w:trHeight w:val="647"/>
        </w:trPr>
        <w:tc>
          <w:tcPr>
            <w:tcW w:w="288" w:type="dxa"/>
            <w:vMerge/>
          </w:tcPr>
          <w:p w:rsidR="001A7A87" w:rsidRPr="001D0F1A" w:rsidRDefault="001A7A87" w:rsidP="001A7A87">
            <w:pPr>
              <w:rPr>
                <w:rFonts w:ascii="GHEA Grapalat" w:eastAsia="Calibri" w:hAnsi="GHEA Grapalat"/>
                <w:color w:val="000000"/>
                <w:sz w:val="22"/>
                <w:szCs w:val="22"/>
                <w:shd w:val="clear" w:color="auto" w:fill="FFFFFF"/>
                <w:lang w:val="hy-AM" w:eastAsia="en-US"/>
              </w:rPr>
            </w:pPr>
          </w:p>
        </w:tc>
        <w:tc>
          <w:tcPr>
            <w:tcW w:w="2372" w:type="dxa"/>
            <w:vMerge/>
          </w:tcPr>
          <w:p w:rsidR="001A7A87" w:rsidRPr="001D0F1A" w:rsidRDefault="001A7A87" w:rsidP="001A7A87">
            <w:pPr>
              <w:rPr>
                <w:rFonts w:ascii="GHEA Grapalat" w:eastAsia="Calibri" w:hAnsi="GHEA Grapalat"/>
                <w:color w:val="000000"/>
                <w:sz w:val="22"/>
                <w:szCs w:val="22"/>
                <w:shd w:val="clear" w:color="auto" w:fill="FFFFFF"/>
                <w:lang w:val="hy-AM" w:eastAsia="en-US"/>
              </w:rPr>
            </w:pPr>
          </w:p>
        </w:tc>
        <w:tc>
          <w:tcPr>
            <w:tcW w:w="6718" w:type="dxa"/>
          </w:tcPr>
          <w:p w:rsidR="001A7A87" w:rsidRPr="001D0F1A" w:rsidRDefault="001A7A87" w:rsidP="001A7A87">
            <w:pPr>
              <w:widowControl w:val="0"/>
              <w:overflowPunct w:val="0"/>
              <w:autoSpaceDE w:val="0"/>
              <w:autoSpaceDN w:val="0"/>
              <w:adjustRightInd w:val="0"/>
              <w:jc w:val="both"/>
              <w:textAlignment w:val="baseline"/>
              <w:rPr>
                <w:rFonts w:ascii="GHEA Grapalat" w:hAnsi="GHEA Grapalat" w:cs="Sylfaen"/>
                <w:sz w:val="22"/>
                <w:szCs w:val="22"/>
                <w:lang w:val="hy-AM"/>
              </w:rPr>
            </w:pPr>
            <w:r w:rsidRPr="001D0F1A">
              <w:rPr>
                <w:rFonts w:ascii="GHEA Grapalat" w:hAnsi="GHEA Grapalat" w:cs="Sylfaen"/>
                <w:sz w:val="22"/>
                <w:szCs w:val="22"/>
                <w:lang w:val="hy-AM"/>
              </w:rPr>
              <w:t>2. 6-րդ կետում «երեք տարիներին» բառերից հետո լրացնել «տվյալ ոլորտի օբյեկտներում» բառերը</w:t>
            </w:r>
          </w:p>
        </w:tc>
        <w:tc>
          <w:tcPr>
            <w:tcW w:w="1620" w:type="dxa"/>
          </w:tcPr>
          <w:p w:rsidR="001A7A87" w:rsidRPr="001D0F1A" w:rsidRDefault="001A7A87" w:rsidP="001A7A87">
            <w:pPr>
              <w:rPr>
                <w:rFonts w:ascii="GHEA Grapalat" w:hAnsi="GHEA Grapalat"/>
                <w:color w:val="222222"/>
                <w:sz w:val="22"/>
                <w:szCs w:val="22"/>
                <w:shd w:val="clear" w:color="auto" w:fill="FFFFFF"/>
                <w:lang w:val="hy-AM"/>
              </w:rPr>
            </w:pPr>
            <w:r w:rsidRPr="001D0F1A">
              <w:rPr>
                <w:rFonts w:ascii="GHEA Grapalat" w:hAnsi="GHEA Grapalat"/>
                <w:color w:val="222222"/>
                <w:sz w:val="22"/>
                <w:szCs w:val="22"/>
                <w:shd w:val="clear" w:color="auto" w:fill="FFFFFF"/>
                <w:lang w:val="hy-AM"/>
              </w:rPr>
              <w:t>Չի ընդունվել</w:t>
            </w:r>
          </w:p>
        </w:tc>
        <w:tc>
          <w:tcPr>
            <w:tcW w:w="4230" w:type="dxa"/>
          </w:tcPr>
          <w:p w:rsidR="001A7A87" w:rsidRPr="001A7A87" w:rsidRDefault="001A7A87" w:rsidP="001A7A87">
            <w:pPr>
              <w:jc w:val="both"/>
              <w:rPr>
                <w:rFonts w:ascii="GHEA Grapalat" w:hAnsi="GHEA Grapalat" w:cs="Sylfaen"/>
                <w:sz w:val="22"/>
                <w:szCs w:val="22"/>
                <w:lang w:val="hy-AM"/>
              </w:rPr>
            </w:pPr>
            <w:r w:rsidRPr="001A7A87">
              <w:rPr>
                <w:rFonts w:ascii="GHEA Grapalat" w:hAnsi="GHEA Grapalat" w:cs="Sylfaen"/>
                <w:sz w:val="22"/>
                <w:szCs w:val="22"/>
                <w:lang w:val="hy-AM"/>
              </w:rPr>
              <w:t>Ուսումնական հաստատության ոլորտային ռիսկը կախված է վերջին երեք տարիներին իրականացված բոլոր ուսումնասիրությունների և ստուգումների արդյունքում ստացված վիճակագրական տվյալներից</w:t>
            </w:r>
          </w:p>
        </w:tc>
      </w:tr>
      <w:tr w:rsidR="00FE5EC2" w:rsidRPr="001D0F1A" w:rsidTr="0079125D">
        <w:trPr>
          <w:trHeight w:val="350"/>
        </w:trPr>
        <w:tc>
          <w:tcPr>
            <w:tcW w:w="288" w:type="dxa"/>
            <w:vMerge/>
          </w:tcPr>
          <w:p w:rsidR="00FE5EC2" w:rsidRPr="001D0F1A" w:rsidRDefault="00FE5EC2" w:rsidP="00FE5EC2">
            <w:pPr>
              <w:rPr>
                <w:rFonts w:ascii="GHEA Grapalat" w:eastAsia="Calibri" w:hAnsi="GHEA Grapalat"/>
                <w:color w:val="000000"/>
                <w:sz w:val="22"/>
                <w:szCs w:val="22"/>
                <w:shd w:val="clear" w:color="auto" w:fill="FFFFFF"/>
                <w:lang w:val="hy-AM" w:eastAsia="en-US"/>
              </w:rPr>
            </w:pPr>
          </w:p>
        </w:tc>
        <w:tc>
          <w:tcPr>
            <w:tcW w:w="2372" w:type="dxa"/>
            <w:vMerge/>
          </w:tcPr>
          <w:p w:rsidR="00FE5EC2" w:rsidRPr="001D0F1A" w:rsidRDefault="00FE5EC2" w:rsidP="00FE5EC2">
            <w:pPr>
              <w:rPr>
                <w:rFonts w:ascii="GHEA Grapalat" w:eastAsia="Calibri" w:hAnsi="GHEA Grapalat"/>
                <w:color w:val="000000"/>
                <w:sz w:val="22"/>
                <w:szCs w:val="22"/>
                <w:shd w:val="clear" w:color="auto" w:fill="FFFFFF"/>
                <w:lang w:val="hy-AM" w:eastAsia="en-US"/>
              </w:rPr>
            </w:pPr>
          </w:p>
        </w:tc>
        <w:tc>
          <w:tcPr>
            <w:tcW w:w="6718" w:type="dxa"/>
          </w:tcPr>
          <w:p w:rsidR="00FE5EC2" w:rsidRPr="001D0F1A" w:rsidRDefault="00FE5EC2" w:rsidP="00FE5EC2">
            <w:pPr>
              <w:widowControl w:val="0"/>
              <w:overflowPunct w:val="0"/>
              <w:autoSpaceDE w:val="0"/>
              <w:autoSpaceDN w:val="0"/>
              <w:adjustRightInd w:val="0"/>
              <w:jc w:val="both"/>
              <w:textAlignment w:val="baseline"/>
              <w:rPr>
                <w:rFonts w:ascii="GHEA Grapalat" w:hAnsi="GHEA Grapalat" w:cs="Sylfaen"/>
                <w:sz w:val="22"/>
                <w:szCs w:val="22"/>
                <w:lang w:val="hy-AM"/>
              </w:rPr>
            </w:pPr>
            <w:r w:rsidRPr="001D0F1A">
              <w:rPr>
                <w:rFonts w:ascii="GHEA Grapalat" w:hAnsi="GHEA Grapalat" w:cs="Sylfaen"/>
                <w:sz w:val="22"/>
                <w:szCs w:val="22"/>
                <w:lang w:val="hy-AM"/>
              </w:rPr>
              <w:t xml:space="preserve">3.  պարզաբանել 13-րդ կետում ներկայացված բանաձևը </w:t>
            </w:r>
          </w:p>
          <w:p w:rsidR="00FE5EC2" w:rsidRPr="001D0F1A" w:rsidRDefault="00FE5EC2" w:rsidP="00FE5EC2">
            <w:pPr>
              <w:widowControl w:val="0"/>
              <w:overflowPunct w:val="0"/>
              <w:autoSpaceDE w:val="0"/>
              <w:autoSpaceDN w:val="0"/>
              <w:adjustRightInd w:val="0"/>
              <w:jc w:val="both"/>
              <w:textAlignment w:val="baseline"/>
              <w:rPr>
                <w:rFonts w:ascii="GHEA Grapalat" w:hAnsi="GHEA Grapalat" w:cs="Sylfaen"/>
                <w:sz w:val="22"/>
                <w:szCs w:val="22"/>
                <w:lang w:val="hy-AM"/>
              </w:rPr>
            </w:pPr>
            <w:r w:rsidRPr="001D0F1A">
              <w:rPr>
                <w:rFonts w:ascii="GHEA Grapalat" w:hAnsi="GHEA Grapalat" w:cs="Sylfaen"/>
                <w:sz w:val="22"/>
                <w:szCs w:val="22"/>
                <w:lang w:val="hy-AM"/>
              </w:rPr>
              <w:t>3.1. անհրաժեշտ է նկատի ունենալ տարբեր ոլորտներում առկա հաստատությունների բազմության մեջ իրականացված ստուգումների տեսակարար կշիռները, ոչ թե ստուգումների զուտ քանակը, քանի որ վերջիններս համադրելի չեն կարող լինել այն դեպքում, երբ տարբեր ոլորտների համար կիրառված ընտրանքը համարժեք չէ,</w:t>
            </w:r>
          </w:p>
          <w:p w:rsidR="00FE5EC2" w:rsidRPr="001D0F1A" w:rsidRDefault="00FE5EC2" w:rsidP="00FE5EC2">
            <w:pPr>
              <w:widowControl w:val="0"/>
              <w:overflowPunct w:val="0"/>
              <w:autoSpaceDE w:val="0"/>
              <w:autoSpaceDN w:val="0"/>
              <w:adjustRightInd w:val="0"/>
              <w:jc w:val="both"/>
              <w:textAlignment w:val="baseline"/>
              <w:rPr>
                <w:rFonts w:ascii="GHEA Grapalat" w:hAnsi="GHEA Grapalat" w:cs="Sylfaen"/>
                <w:sz w:val="22"/>
                <w:szCs w:val="22"/>
                <w:lang w:val="hy-AM"/>
              </w:rPr>
            </w:pPr>
            <w:r w:rsidRPr="001D0F1A">
              <w:rPr>
                <w:rFonts w:ascii="GHEA Grapalat" w:hAnsi="GHEA Grapalat" w:cs="Sylfaen"/>
                <w:sz w:val="22"/>
                <w:szCs w:val="22"/>
                <w:lang w:val="hy-AM"/>
              </w:rPr>
              <w:t xml:space="preserve">3.2. բանաձևի հայտարարի գումարելիները, որոնք արտացոլում են տվյալ ոլորտի մեկ ստուգման արդյունքում հայտնաբերված </w:t>
            </w:r>
            <w:r w:rsidRPr="001D0F1A">
              <w:rPr>
                <w:rFonts w:ascii="GHEA Grapalat" w:hAnsi="GHEA Grapalat" w:cs="Sylfaen"/>
                <w:sz w:val="22"/>
                <w:szCs w:val="22"/>
                <w:lang w:val="hy-AM"/>
              </w:rPr>
              <w:lastRenderedPageBreak/>
              <w:t>խախտումների քանակը, միատարր չեն և վերաբերում են տարբեր ժամանակահատվածների։ Ընդ որում, նշվում է, որ միջին մասնագիտական կրթության ոլորտի ոլորտային ռիսկը կձևավորվի 2018-2020 թվականների ընթացքում միջին մասնագիտական կրթական ծրագրեր իրականացնող ուսումնական հաստատություններում իրականացվելիք ուսումնասիրությունների և ստուգումների արդյունքում, ինչն անհնար է դարձնում բանաձևի կիրառումը մինչ նշված ժամանակահատվածի ավարտը։ Այս կապակցությամբ, առաջարկում ենք ներդաշնակեցնել բանաձևի փոփոխականներին վերագրվող ժամանակահատվածը։</w:t>
            </w:r>
          </w:p>
        </w:tc>
        <w:tc>
          <w:tcPr>
            <w:tcW w:w="1620" w:type="dxa"/>
          </w:tcPr>
          <w:p w:rsidR="00FE5EC2" w:rsidRPr="001D0F1A" w:rsidRDefault="00FE5EC2" w:rsidP="00FE5EC2">
            <w:pPr>
              <w:rPr>
                <w:rFonts w:ascii="GHEA Grapalat" w:hAnsi="GHEA Grapalat"/>
                <w:color w:val="222222"/>
                <w:sz w:val="22"/>
                <w:szCs w:val="22"/>
                <w:shd w:val="clear" w:color="auto" w:fill="FFFFFF"/>
                <w:lang w:val="hy-AM"/>
              </w:rPr>
            </w:pPr>
            <w:r w:rsidRPr="001D0F1A">
              <w:rPr>
                <w:rFonts w:ascii="GHEA Grapalat" w:hAnsi="GHEA Grapalat"/>
                <w:color w:val="222222"/>
                <w:sz w:val="22"/>
                <w:szCs w:val="22"/>
                <w:shd w:val="clear" w:color="auto" w:fill="FFFFFF"/>
                <w:lang w:val="hy-AM"/>
              </w:rPr>
              <w:lastRenderedPageBreak/>
              <w:t>Ընդունվել է</w:t>
            </w:r>
          </w:p>
        </w:tc>
        <w:tc>
          <w:tcPr>
            <w:tcW w:w="4230" w:type="dxa"/>
          </w:tcPr>
          <w:p w:rsidR="00FE5EC2" w:rsidRPr="00FE5EC2" w:rsidRDefault="00FE5EC2" w:rsidP="00FE5EC2">
            <w:pPr>
              <w:jc w:val="both"/>
              <w:rPr>
                <w:rFonts w:ascii="GHEA Grapalat" w:hAnsi="GHEA Grapalat" w:cs="Sylfaen"/>
                <w:sz w:val="22"/>
                <w:szCs w:val="22"/>
                <w:lang w:val="hy-AM"/>
              </w:rPr>
            </w:pPr>
            <w:r w:rsidRPr="00FE5EC2">
              <w:rPr>
                <w:rFonts w:ascii="GHEA Grapalat" w:hAnsi="GHEA Grapalat" w:cs="Sylfaen"/>
                <w:sz w:val="22"/>
                <w:szCs w:val="22"/>
                <w:lang w:val="hy-AM"/>
              </w:rPr>
              <w:t>Ընտրանքի համարժեք լինելը կարևոր չէ</w:t>
            </w:r>
            <w:r>
              <w:rPr>
                <w:rFonts w:ascii="GHEA Grapalat" w:hAnsi="GHEA Grapalat" w:cs="Sylfaen"/>
                <w:sz w:val="22"/>
                <w:szCs w:val="22"/>
                <w:lang w:val="hy-AM"/>
              </w:rPr>
              <w:t xml:space="preserve">, քանի որ </w:t>
            </w:r>
            <w:r w:rsidRPr="00FE5EC2">
              <w:rPr>
                <w:rFonts w:ascii="GHEA Grapalat" w:hAnsi="GHEA Grapalat" w:cs="Sylfaen"/>
                <w:sz w:val="22"/>
                <w:szCs w:val="22"/>
                <w:lang w:val="hy-AM"/>
              </w:rPr>
              <w:t>համեմատ</w:t>
            </w:r>
            <w:r>
              <w:rPr>
                <w:rFonts w:ascii="GHEA Grapalat" w:hAnsi="GHEA Grapalat" w:cs="Sylfaen"/>
                <w:sz w:val="22"/>
                <w:szCs w:val="22"/>
                <w:lang w:val="hy-AM"/>
              </w:rPr>
              <w:t>վ</w:t>
            </w:r>
            <w:r w:rsidRPr="00FE5EC2">
              <w:rPr>
                <w:rFonts w:ascii="GHEA Grapalat" w:hAnsi="GHEA Grapalat" w:cs="Sylfaen"/>
                <w:sz w:val="22"/>
                <w:szCs w:val="22"/>
                <w:lang w:val="hy-AM"/>
              </w:rPr>
              <w:t xml:space="preserve">ում </w:t>
            </w:r>
            <w:r>
              <w:rPr>
                <w:rFonts w:ascii="GHEA Grapalat" w:hAnsi="GHEA Grapalat" w:cs="Sylfaen"/>
                <w:sz w:val="22"/>
                <w:szCs w:val="22"/>
                <w:lang w:val="hy-AM"/>
              </w:rPr>
              <w:t>է</w:t>
            </w:r>
            <w:r w:rsidRPr="00FE5EC2">
              <w:rPr>
                <w:rFonts w:ascii="GHEA Grapalat" w:hAnsi="GHEA Grapalat" w:cs="Sylfaen"/>
                <w:sz w:val="22"/>
                <w:szCs w:val="22"/>
                <w:lang w:val="hy-AM"/>
              </w:rPr>
              <w:t xml:space="preserve"> վերջին երեք տարվա կտրվածքով տվյալ ոլորտի մեկ հաստատությանը ընկնող խախտումների միջինացված թիվը: Միջին մասնագիտական ոլորտի հաստատությունների նկատմամբ վերահսկողություն իրականացնելու լիազորություն ՀՀ կրթության </w:t>
            </w:r>
            <w:r w:rsidRPr="00FE5EC2">
              <w:rPr>
                <w:rFonts w:ascii="GHEA Grapalat" w:hAnsi="GHEA Grapalat" w:cs="Sylfaen"/>
                <w:sz w:val="22"/>
                <w:szCs w:val="22"/>
                <w:lang w:val="hy-AM"/>
              </w:rPr>
              <w:lastRenderedPageBreak/>
              <w:t xml:space="preserve">տեսչական մարմնին տրվել է 2018 թվականից, հետևաբար ժամանակահատվածները համընկնել չեն կարող, ուստի նաև բանաձևի փոփոխականներին վերագրվող ժամանակահատվածները ևս ներդաշնակեցվել չեն կարող: </w:t>
            </w:r>
          </w:p>
          <w:p w:rsidR="00FE5EC2" w:rsidRPr="00FE5EC2" w:rsidRDefault="00FE5EC2" w:rsidP="00FE5EC2">
            <w:pPr>
              <w:jc w:val="both"/>
              <w:rPr>
                <w:rFonts w:ascii="GHEA Grapalat" w:hAnsi="GHEA Grapalat" w:cs="Sylfaen"/>
                <w:sz w:val="22"/>
                <w:szCs w:val="22"/>
                <w:lang w:val="hy-AM"/>
              </w:rPr>
            </w:pPr>
          </w:p>
        </w:tc>
      </w:tr>
      <w:tr w:rsidR="00FE5EC2" w:rsidRPr="001D0F1A" w:rsidTr="0079125D">
        <w:trPr>
          <w:trHeight w:val="3587"/>
        </w:trPr>
        <w:tc>
          <w:tcPr>
            <w:tcW w:w="288" w:type="dxa"/>
            <w:vMerge/>
          </w:tcPr>
          <w:p w:rsidR="00FE5EC2" w:rsidRPr="001D0F1A" w:rsidRDefault="00FE5EC2" w:rsidP="00FE5EC2">
            <w:pPr>
              <w:rPr>
                <w:rFonts w:ascii="GHEA Grapalat" w:eastAsia="Calibri" w:hAnsi="GHEA Grapalat"/>
                <w:color w:val="000000"/>
                <w:sz w:val="22"/>
                <w:szCs w:val="22"/>
                <w:shd w:val="clear" w:color="auto" w:fill="FFFFFF"/>
                <w:lang w:val="hy-AM" w:eastAsia="en-US"/>
              </w:rPr>
            </w:pPr>
          </w:p>
        </w:tc>
        <w:tc>
          <w:tcPr>
            <w:tcW w:w="2372" w:type="dxa"/>
            <w:vMerge/>
          </w:tcPr>
          <w:p w:rsidR="00FE5EC2" w:rsidRPr="001D0F1A" w:rsidRDefault="00FE5EC2" w:rsidP="00FE5EC2">
            <w:pPr>
              <w:rPr>
                <w:rFonts w:ascii="GHEA Grapalat" w:eastAsia="Calibri" w:hAnsi="GHEA Grapalat"/>
                <w:color w:val="000000"/>
                <w:sz w:val="22"/>
                <w:szCs w:val="22"/>
                <w:shd w:val="clear" w:color="auto" w:fill="FFFFFF"/>
                <w:lang w:val="hy-AM" w:eastAsia="en-US"/>
              </w:rPr>
            </w:pPr>
          </w:p>
        </w:tc>
        <w:tc>
          <w:tcPr>
            <w:tcW w:w="6718" w:type="dxa"/>
          </w:tcPr>
          <w:p w:rsidR="00FE5EC2" w:rsidRPr="001D0F1A" w:rsidRDefault="00FE5EC2" w:rsidP="00FE5EC2">
            <w:pPr>
              <w:widowControl w:val="0"/>
              <w:overflowPunct w:val="0"/>
              <w:autoSpaceDE w:val="0"/>
              <w:autoSpaceDN w:val="0"/>
              <w:adjustRightInd w:val="0"/>
              <w:jc w:val="both"/>
              <w:textAlignment w:val="baseline"/>
              <w:rPr>
                <w:rFonts w:ascii="GHEA Grapalat" w:hAnsi="GHEA Grapalat" w:cs="Sylfaen"/>
                <w:sz w:val="22"/>
                <w:szCs w:val="22"/>
                <w:lang w:val="hy-AM"/>
              </w:rPr>
            </w:pPr>
            <w:r w:rsidRPr="001D0F1A">
              <w:rPr>
                <w:rFonts w:ascii="GHEA Grapalat" w:hAnsi="GHEA Grapalat" w:cs="Sylfaen"/>
                <w:sz w:val="22"/>
                <w:szCs w:val="22"/>
                <w:lang w:val="hy-AM"/>
              </w:rPr>
              <w:t>4.Առաջարկում ենք վերանայել ռիսկայնության գնահատման մեթոդաբանությունը՝ սահմանելով ռիսկերի գնահատականների քառամակարդակ տրոհում (0, 5, 10, 15) բոլոր ռիսկային չափանիշների, դրանով իսկ ապահովելով ռիսկերի գնահատման համաչափ և միատարր մոտեցում։ Հակառակ դեպքում, պատճառաբանված չէ, թե ինչո՞ւ է, օրինակ, չդասավանդվող առարկայի առկայությունը գնահատվում 5 միավոր, իսկ գերբեռնված դասարանի առկայությունը՝ 10 միավոր և, հետևաբար, ավելի ռիսկային, կամ ինչքա՞ն է գնահատվում նման դասարանի բացակայությունը՝ 0, թե՞ 1, կամ ինչո՞ւ է որևէ ռիսկի չափանիշ գնահատվում ռիսկի երկմակարդակ, իսկ մյուսը եռամակարդակ մոտեցմամբ։</w:t>
            </w:r>
          </w:p>
        </w:tc>
        <w:tc>
          <w:tcPr>
            <w:tcW w:w="1620" w:type="dxa"/>
          </w:tcPr>
          <w:p w:rsidR="00FE5EC2" w:rsidRPr="001D0F1A" w:rsidRDefault="00FE5EC2" w:rsidP="00FE5EC2">
            <w:pPr>
              <w:rPr>
                <w:rFonts w:ascii="GHEA Grapalat" w:hAnsi="GHEA Grapalat"/>
                <w:color w:val="222222"/>
                <w:sz w:val="22"/>
                <w:szCs w:val="22"/>
                <w:shd w:val="clear" w:color="auto" w:fill="FFFFFF"/>
                <w:lang w:val="hy-AM"/>
              </w:rPr>
            </w:pPr>
            <w:r w:rsidRPr="001D0F1A">
              <w:rPr>
                <w:rFonts w:ascii="GHEA Grapalat" w:hAnsi="GHEA Grapalat"/>
                <w:color w:val="222222"/>
                <w:sz w:val="22"/>
                <w:szCs w:val="22"/>
                <w:shd w:val="clear" w:color="auto" w:fill="FFFFFF"/>
                <w:lang w:val="hy-AM"/>
              </w:rPr>
              <w:t>Ընդունվել է</w:t>
            </w:r>
          </w:p>
        </w:tc>
        <w:tc>
          <w:tcPr>
            <w:tcW w:w="4230" w:type="dxa"/>
          </w:tcPr>
          <w:p w:rsidR="00FE5EC2" w:rsidRPr="00FE5EC2" w:rsidRDefault="00FE5EC2" w:rsidP="00FE5EC2">
            <w:pPr>
              <w:jc w:val="both"/>
              <w:rPr>
                <w:rFonts w:ascii="GHEA Grapalat" w:hAnsi="GHEA Grapalat" w:cs="Sylfaen"/>
                <w:sz w:val="22"/>
                <w:szCs w:val="22"/>
                <w:lang w:val="hy-AM"/>
              </w:rPr>
            </w:pPr>
            <w:r w:rsidRPr="00FE5EC2">
              <w:rPr>
                <w:rFonts w:ascii="GHEA Grapalat" w:hAnsi="GHEA Grapalat" w:cs="Sylfaen"/>
                <w:sz w:val="22"/>
                <w:szCs w:val="22"/>
                <w:lang w:val="hy-AM"/>
              </w:rPr>
              <w:t xml:space="preserve">Առաջարկն ընդունելի է մասամբ:  Բոլոր չափանիշները չէ, որ հնարավոր է ներկայացնել քառամակարդակ գնահատման միջոցով:  </w:t>
            </w:r>
            <w:r>
              <w:rPr>
                <w:rFonts w:ascii="GHEA Grapalat" w:hAnsi="GHEA Grapalat" w:cs="Sylfaen"/>
                <w:sz w:val="22"/>
                <w:szCs w:val="22"/>
                <w:lang w:val="hy-AM"/>
              </w:rPr>
              <w:t>Որոշ դեպքերում ավելացվել է</w:t>
            </w:r>
            <w:r w:rsidRPr="00FE5EC2">
              <w:rPr>
                <w:rFonts w:ascii="GHEA Grapalat" w:hAnsi="GHEA Grapalat" w:cs="Sylfaen"/>
                <w:sz w:val="22"/>
                <w:szCs w:val="22"/>
                <w:lang w:val="hy-AM"/>
              </w:rPr>
              <w:t>:</w:t>
            </w:r>
          </w:p>
          <w:p w:rsidR="00FE5EC2" w:rsidRPr="00FE5EC2" w:rsidRDefault="00FE5EC2" w:rsidP="00FE5EC2">
            <w:pPr>
              <w:jc w:val="both"/>
              <w:rPr>
                <w:rFonts w:ascii="GHEA Grapalat" w:hAnsi="GHEA Grapalat" w:cs="Sylfaen"/>
                <w:sz w:val="22"/>
                <w:szCs w:val="22"/>
                <w:lang w:val="hy-AM"/>
              </w:rPr>
            </w:pPr>
          </w:p>
        </w:tc>
      </w:tr>
      <w:tr w:rsidR="00FE5EC2" w:rsidRPr="001D0F1A" w:rsidTr="0079125D">
        <w:trPr>
          <w:trHeight w:val="1250"/>
        </w:trPr>
        <w:tc>
          <w:tcPr>
            <w:tcW w:w="288" w:type="dxa"/>
            <w:vMerge/>
          </w:tcPr>
          <w:p w:rsidR="00FE5EC2" w:rsidRPr="001D0F1A" w:rsidRDefault="00FE5EC2" w:rsidP="00FE5EC2">
            <w:pPr>
              <w:rPr>
                <w:rFonts w:ascii="GHEA Grapalat" w:eastAsia="Calibri" w:hAnsi="GHEA Grapalat"/>
                <w:color w:val="000000"/>
                <w:sz w:val="22"/>
                <w:szCs w:val="22"/>
                <w:shd w:val="clear" w:color="auto" w:fill="FFFFFF"/>
                <w:lang w:val="hy-AM" w:eastAsia="en-US"/>
              </w:rPr>
            </w:pPr>
          </w:p>
        </w:tc>
        <w:tc>
          <w:tcPr>
            <w:tcW w:w="2372" w:type="dxa"/>
            <w:vMerge/>
          </w:tcPr>
          <w:p w:rsidR="00FE5EC2" w:rsidRPr="001D0F1A" w:rsidRDefault="00FE5EC2" w:rsidP="00FE5EC2">
            <w:pPr>
              <w:rPr>
                <w:rFonts w:ascii="GHEA Grapalat" w:eastAsia="Calibri" w:hAnsi="GHEA Grapalat"/>
                <w:color w:val="000000"/>
                <w:sz w:val="22"/>
                <w:szCs w:val="22"/>
                <w:shd w:val="clear" w:color="auto" w:fill="FFFFFF"/>
                <w:lang w:val="hy-AM" w:eastAsia="en-US"/>
              </w:rPr>
            </w:pPr>
          </w:p>
        </w:tc>
        <w:tc>
          <w:tcPr>
            <w:tcW w:w="6718" w:type="dxa"/>
          </w:tcPr>
          <w:p w:rsidR="00FE5EC2" w:rsidRPr="001D0F1A" w:rsidRDefault="00FE5EC2" w:rsidP="00FE5EC2">
            <w:pPr>
              <w:widowControl w:val="0"/>
              <w:overflowPunct w:val="0"/>
              <w:autoSpaceDE w:val="0"/>
              <w:autoSpaceDN w:val="0"/>
              <w:adjustRightInd w:val="0"/>
              <w:jc w:val="both"/>
              <w:textAlignment w:val="baseline"/>
              <w:rPr>
                <w:rFonts w:ascii="GHEA Grapalat" w:hAnsi="GHEA Grapalat" w:cs="Sylfaen"/>
                <w:sz w:val="22"/>
                <w:szCs w:val="22"/>
                <w:lang w:val="hy-AM"/>
              </w:rPr>
            </w:pPr>
            <w:r w:rsidRPr="001D0F1A">
              <w:rPr>
                <w:rFonts w:ascii="GHEA Grapalat" w:hAnsi="GHEA Grapalat" w:cs="Sylfaen"/>
                <w:sz w:val="22"/>
                <w:szCs w:val="22"/>
                <w:lang w:val="hy-AM"/>
              </w:rPr>
              <w:t xml:space="preserve">5.Անհրաժեշտ է նախատեսել դրույթ՝ սահմանելով, որ ռիսկայնության առաջին բաղադրիչի և երկրորդ բաղադրիչի կշիռները ձևավորվում են համապատասխան ռիսկերի չափանիշներին տրվող միավորների հանրագումարի տեսքով։   </w:t>
            </w:r>
          </w:p>
        </w:tc>
        <w:tc>
          <w:tcPr>
            <w:tcW w:w="1620" w:type="dxa"/>
          </w:tcPr>
          <w:p w:rsidR="00FE5EC2" w:rsidRPr="001D0F1A" w:rsidRDefault="00FE5EC2" w:rsidP="00FE5EC2">
            <w:pPr>
              <w:rPr>
                <w:rFonts w:ascii="GHEA Grapalat" w:hAnsi="GHEA Grapalat"/>
                <w:color w:val="222222"/>
                <w:sz w:val="22"/>
                <w:szCs w:val="22"/>
                <w:shd w:val="clear" w:color="auto" w:fill="FFFFFF"/>
                <w:lang w:val="hy-AM"/>
              </w:rPr>
            </w:pPr>
            <w:r w:rsidRPr="001D0F1A">
              <w:rPr>
                <w:rFonts w:ascii="GHEA Grapalat" w:hAnsi="GHEA Grapalat"/>
                <w:color w:val="222222"/>
                <w:sz w:val="22"/>
                <w:szCs w:val="22"/>
                <w:shd w:val="clear" w:color="auto" w:fill="FFFFFF"/>
                <w:lang w:val="hy-AM"/>
              </w:rPr>
              <w:t>Ընդունվել է</w:t>
            </w:r>
          </w:p>
        </w:tc>
        <w:tc>
          <w:tcPr>
            <w:tcW w:w="4230" w:type="dxa"/>
          </w:tcPr>
          <w:p w:rsidR="00FE5EC2" w:rsidRPr="001D0F1A" w:rsidRDefault="00FE5EC2" w:rsidP="00FE5EC2">
            <w:pPr>
              <w:rPr>
                <w:rFonts w:ascii="GHEA Grapalat" w:hAnsi="GHEA Grapalat"/>
                <w:spacing w:val="-1"/>
                <w:sz w:val="22"/>
                <w:szCs w:val="22"/>
                <w:lang w:val="af-ZA"/>
              </w:rPr>
            </w:pPr>
            <w:r w:rsidRPr="001D0F1A">
              <w:rPr>
                <w:rFonts w:ascii="GHEA Grapalat" w:hAnsi="GHEA Grapalat"/>
                <w:spacing w:val="-1"/>
                <w:sz w:val="22"/>
                <w:szCs w:val="22"/>
                <w:lang w:val="af-ZA"/>
              </w:rPr>
              <w:t>Կատարվել են համապատասխան փոփոխություններ</w:t>
            </w:r>
          </w:p>
        </w:tc>
      </w:tr>
      <w:tr w:rsidR="00FE5EC2" w:rsidRPr="001D0F1A" w:rsidTr="0079125D">
        <w:trPr>
          <w:trHeight w:val="1215"/>
        </w:trPr>
        <w:tc>
          <w:tcPr>
            <w:tcW w:w="288" w:type="dxa"/>
            <w:vMerge/>
          </w:tcPr>
          <w:p w:rsidR="00FE5EC2" w:rsidRPr="001D0F1A" w:rsidRDefault="00FE5EC2" w:rsidP="00FE5EC2">
            <w:pPr>
              <w:rPr>
                <w:rFonts w:ascii="GHEA Grapalat" w:eastAsia="Calibri" w:hAnsi="GHEA Grapalat"/>
                <w:color w:val="000000"/>
                <w:sz w:val="22"/>
                <w:szCs w:val="22"/>
                <w:shd w:val="clear" w:color="auto" w:fill="FFFFFF"/>
                <w:lang w:val="hy-AM" w:eastAsia="en-US"/>
              </w:rPr>
            </w:pPr>
          </w:p>
        </w:tc>
        <w:tc>
          <w:tcPr>
            <w:tcW w:w="2372" w:type="dxa"/>
            <w:vMerge/>
          </w:tcPr>
          <w:p w:rsidR="00FE5EC2" w:rsidRPr="001D0F1A" w:rsidRDefault="00FE5EC2" w:rsidP="00FE5EC2">
            <w:pPr>
              <w:rPr>
                <w:rFonts w:ascii="GHEA Grapalat" w:eastAsia="Calibri" w:hAnsi="GHEA Grapalat"/>
                <w:color w:val="000000"/>
                <w:sz w:val="22"/>
                <w:szCs w:val="22"/>
                <w:shd w:val="clear" w:color="auto" w:fill="FFFFFF"/>
                <w:lang w:val="hy-AM" w:eastAsia="en-US"/>
              </w:rPr>
            </w:pPr>
          </w:p>
        </w:tc>
        <w:tc>
          <w:tcPr>
            <w:tcW w:w="6718" w:type="dxa"/>
          </w:tcPr>
          <w:p w:rsidR="00FE5EC2" w:rsidRPr="001D0F1A" w:rsidRDefault="00FE5EC2" w:rsidP="00FE5EC2">
            <w:pPr>
              <w:widowControl w:val="0"/>
              <w:overflowPunct w:val="0"/>
              <w:autoSpaceDE w:val="0"/>
              <w:autoSpaceDN w:val="0"/>
              <w:adjustRightInd w:val="0"/>
              <w:jc w:val="both"/>
              <w:textAlignment w:val="baseline"/>
              <w:rPr>
                <w:rFonts w:ascii="GHEA Grapalat" w:hAnsi="GHEA Grapalat" w:cs="Sylfaen"/>
                <w:sz w:val="22"/>
                <w:szCs w:val="22"/>
                <w:lang w:val="hy-AM"/>
              </w:rPr>
            </w:pPr>
            <w:r w:rsidRPr="001D0F1A">
              <w:rPr>
                <w:rFonts w:ascii="GHEA Grapalat" w:hAnsi="GHEA Grapalat" w:cs="Sylfaen"/>
                <w:sz w:val="22"/>
                <w:szCs w:val="22"/>
                <w:lang w:val="hy-AM"/>
              </w:rPr>
              <w:t>6.Նախագծի 51-րդ կետում ներկայացված բարձր ռիսկայնության խմբում ընդգրկված ուսումնական հաստատությունների թվի համար սահմանափակումը՝ ոչ ավելի, քան ուսումնական հաստատությունների ընդհանուր թվի 25%-ը, պատճառաբանված չէ։ Այն դեպքում, երբ նշված հաստատությունների ռիսկի հաշվարկի արդյունքում պարզվի, որ ռիսկի բարձր խմբում առկա ուսումնական հաստատությունները կազմում են ընդհանուր թվի 25 %-ից ավելին, ինչպիսի՞ հետևանքներ են առաջանալու և միջոցներ են ձեռնարկվելու։</w:t>
            </w:r>
          </w:p>
        </w:tc>
        <w:tc>
          <w:tcPr>
            <w:tcW w:w="1620" w:type="dxa"/>
          </w:tcPr>
          <w:p w:rsidR="00FE5EC2" w:rsidRPr="001D0F1A" w:rsidRDefault="00FE5EC2" w:rsidP="00FE5EC2">
            <w:pPr>
              <w:rPr>
                <w:rFonts w:ascii="GHEA Grapalat" w:hAnsi="GHEA Grapalat"/>
                <w:color w:val="222222"/>
                <w:sz w:val="22"/>
                <w:szCs w:val="22"/>
                <w:shd w:val="clear" w:color="auto" w:fill="FFFFFF"/>
                <w:lang w:val="hy-AM"/>
              </w:rPr>
            </w:pPr>
            <w:r w:rsidRPr="001D0F1A">
              <w:rPr>
                <w:rFonts w:ascii="GHEA Grapalat" w:hAnsi="GHEA Grapalat"/>
                <w:color w:val="222222"/>
                <w:sz w:val="22"/>
                <w:szCs w:val="22"/>
                <w:shd w:val="clear" w:color="auto" w:fill="FFFFFF"/>
                <w:lang w:val="hy-AM"/>
              </w:rPr>
              <w:t>Ընդունվել է</w:t>
            </w:r>
          </w:p>
        </w:tc>
        <w:tc>
          <w:tcPr>
            <w:tcW w:w="4230" w:type="dxa"/>
          </w:tcPr>
          <w:p w:rsidR="00FE5EC2" w:rsidRPr="00FE5EC2" w:rsidRDefault="00FE5EC2" w:rsidP="00FE5EC2">
            <w:pPr>
              <w:jc w:val="both"/>
              <w:rPr>
                <w:rFonts w:ascii="GHEA Grapalat" w:hAnsi="GHEA Grapalat" w:cs="Sylfaen"/>
                <w:sz w:val="22"/>
                <w:szCs w:val="22"/>
                <w:lang w:val="hy-AM"/>
              </w:rPr>
            </w:pPr>
            <w:r w:rsidRPr="00FE5EC2">
              <w:rPr>
                <w:rFonts w:ascii="GHEA Grapalat" w:hAnsi="GHEA Grapalat" w:cs="Sylfaen"/>
                <w:sz w:val="22"/>
                <w:szCs w:val="22"/>
                <w:lang w:val="hy-AM"/>
              </w:rPr>
              <w:t>Այս կետը կարգավորվում է «Հայաստանի Հանրապետությունում ստուգումների կազմակերպման և անցկացման մասին» ՀՀ օրենքի հոդված 2.1-ի 3-րդ կետով: Պետք է լինի՝ 20%</w:t>
            </w:r>
            <w:r>
              <w:rPr>
                <w:rFonts w:ascii="GHEA Grapalat" w:hAnsi="GHEA Grapalat" w:cs="Sylfaen"/>
                <w:sz w:val="22"/>
                <w:szCs w:val="22"/>
                <w:lang w:val="hy-AM"/>
              </w:rPr>
              <w:t>:</w:t>
            </w:r>
            <w:r w:rsidRPr="00FE5EC2">
              <w:rPr>
                <w:rFonts w:ascii="GHEA Grapalat" w:hAnsi="GHEA Grapalat" w:cs="Sylfaen"/>
                <w:sz w:val="22"/>
                <w:szCs w:val="22"/>
                <w:lang w:val="hy-AM"/>
              </w:rPr>
              <w:t xml:space="preserve"> </w:t>
            </w:r>
            <w:r w:rsidRPr="001D0F1A">
              <w:rPr>
                <w:rFonts w:ascii="GHEA Grapalat" w:hAnsi="GHEA Grapalat"/>
                <w:spacing w:val="-1"/>
                <w:sz w:val="22"/>
                <w:szCs w:val="22"/>
                <w:lang w:val="af-ZA"/>
              </w:rPr>
              <w:t xml:space="preserve">Կատարվել </w:t>
            </w:r>
            <w:r>
              <w:rPr>
                <w:rFonts w:ascii="GHEA Grapalat" w:hAnsi="GHEA Grapalat"/>
                <w:spacing w:val="-1"/>
                <w:sz w:val="22"/>
                <w:szCs w:val="22"/>
                <w:lang w:val="hy-AM"/>
              </w:rPr>
              <w:t>է</w:t>
            </w:r>
            <w:r w:rsidRPr="001D0F1A">
              <w:rPr>
                <w:rFonts w:ascii="GHEA Grapalat" w:hAnsi="GHEA Grapalat"/>
                <w:spacing w:val="-1"/>
                <w:sz w:val="22"/>
                <w:szCs w:val="22"/>
                <w:lang w:val="af-ZA"/>
              </w:rPr>
              <w:t xml:space="preserve"> համապատասխան փոփոխություն</w:t>
            </w:r>
          </w:p>
        </w:tc>
      </w:tr>
      <w:tr w:rsidR="00CA1152" w:rsidRPr="001D0F1A" w:rsidTr="0079125D">
        <w:trPr>
          <w:trHeight w:val="620"/>
        </w:trPr>
        <w:tc>
          <w:tcPr>
            <w:tcW w:w="288" w:type="dxa"/>
            <w:vMerge/>
          </w:tcPr>
          <w:p w:rsidR="00CA1152" w:rsidRPr="001D0F1A" w:rsidRDefault="00CA1152" w:rsidP="00CA1152">
            <w:pPr>
              <w:rPr>
                <w:rFonts w:ascii="GHEA Grapalat" w:eastAsia="Calibri" w:hAnsi="GHEA Grapalat"/>
                <w:color w:val="000000"/>
                <w:sz w:val="22"/>
                <w:szCs w:val="22"/>
                <w:shd w:val="clear" w:color="auto" w:fill="FFFFFF"/>
                <w:lang w:val="hy-AM" w:eastAsia="en-US"/>
              </w:rPr>
            </w:pPr>
          </w:p>
        </w:tc>
        <w:tc>
          <w:tcPr>
            <w:tcW w:w="2372" w:type="dxa"/>
            <w:vMerge/>
          </w:tcPr>
          <w:p w:rsidR="00CA1152" w:rsidRPr="001D0F1A" w:rsidRDefault="00CA1152" w:rsidP="00CA1152">
            <w:pPr>
              <w:rPr>
                <w:rFonts w:ascii="GHEA Grapalat" w:eastAsia="Calibri" w:hAnsi="GHEA Grapalat"/>
                <w:color w:val="000000"/>
                <w:sz w:val="22"/>
                <w:szCs w:val="22"/>
                <w:shd w:val="clear" w:color="auto" w:fill="FFFFFF"/>
                <w:lang w:val="hy-AM" w:eastAsia="en-US"/>
              </w:rPr>
            </w:pPr>
          </w:p>
        </w:tc>
        <w:tc>
          <w:tcPr>
            <w:tcW w:w="6718" w:type="dxa"/>
          </w:tcPr>
          <w:p w:rsidR="00CA1152" w:rsidRPr="001D0F1A" w:rsidRDefault="00CA1152" w:rsidP="00CA1152">
            <w:pPr>
              <w:widowControl w:val="0"/>
              <w:overflowPunct w:val="0"/>
              <w:autoSpaceDE w:val="0"/>
              <w:autoSpaceDN w:val="0"/>
              <w:adjustRightInd w:val="0"/>
              <w:jc w:val="both"/>
              <w:textAlignment w:val="baseline"/>
              <w:rPr>
                <w:rFonts w:ascii="GHEA Grapalat" w:hAnsi="GHEA Grapalat" w:cs="Sylfaen"/>
                <w:sz w:val="22"/>
                <w:szCs w:val="22"/>
                <w:lang w:val="hy-AM"/>
              </w:rPr>
            </w:pPr>
            <w:r w:rsidRPr="001D0F1A">
              <w:rPr>
                <w:rFonts w:ascii="GHEA Grapalat" w:hAnsi="GHEA Grapalat" w:cs="Sylfaen"/>
                <w:sz w:val="22"/>
                <w:szCs w:val="22"/>
                <w:lang w:val="hy-AM"/>
              </w:rPr>
              <w:t>7.Նախագծում անհրաժեշտ է ավելացնել դրույթ, որը կսահմանի կոնկրետ ժամանակահատվածում, օրինակ՝ տարեկան կտրվածքով, ուսումնական հաստատությունների ստուգումների ծրագրի կազմման մոտեցումները՝ նախատեսելով ռիսկի բարձր, միջին և ցածր խմբերում ընդգրկված հաստատությունների ընդգրկման որոշակի համամասնություններ։ Անհրաժեշտ է հստակեցնել, արդյո՞ք ռիսկի բարձր խմբում ընդգրկված բոլոր ուսումնական հաստատությունները ենթակա են ստուգման առաջիկա տարում։</w:t>
            </w:r>
          </w:p>
        </w:tc>
        <w:tc>
          <w:tcPr>
            <w:tcW w:w="1620" w:type="dxa"/>
          </w:tcPr>
          <w:p w:rsidR="00CA1152" w:rsidRPr="001D0F1A" w:rsidRDefault="00CA1152" w:rsidP="00CA1152">
            <w:pPr>
              <w:rPr>
                <w:rFonts w:ascii="GHEA Grapalat" w:hAnsi="GHEA Grapalat"/>
                <w:color w:val="222222"/>
                <w:sz w:val="22"/>
                <w:szCs w:val="22"/>
                <w:shd w:val="clear" w:color="auto" w:fill="FFFFFF"/>
                <w:lang w:val="hy-AM"/>
              </w:rPr>
            </w:pPr>
            <w:r w:rsidRPr="001D0F1A">
              <w:rPr>
                <w:rFonts w:ascii="GHEA Grapalat" w:hAnsi="GHEA Grapalat"/>
                <w:color w:val="222222"/>
                <w:sz w:val="22"/>
                <w:szCs w:val="22"/>
                <w:shd w:val="clear" w:color="auto" w:fill="FFFFFF"/>
                <w:lang w:val="hy-AM"/>
              </w:rPr>
              <w:t>Ընդունվել է</w:t>
            </w:r>
          </w:p>
        </w:tc>
        <w:tc>
          <w:tcPr>
            <w:tcW w:w="4230" w:type="dxa"/>
          </w:tcPr>
          <w:p w:rsidR="00CA1152" w:rsidRPr="001D0F1A" w:rsidRDefault="00CA1152" w:rsidP="00CA1152">
            <w:pPr>
              <w:jc w:val="both"/>
              <w:rPr>
                <w:rFonts w:ascii="GHEA Grapalat" w:hAnsi="GHEA Grapalat"/>
                <w:spacing w:val="-1"/>
                <w:sz w:val="22"/>
                <w:szCs w:val="22"/>
                <w:lang w:val="af-ZA"/>
              </w:rPr>
            </w:pPr>
            <w:r w:rsidRPr="00FE5EC2">
              <w:rPr>
                <w:rFonts w:ascii="GHEA Grapalat" w:hAnsi="GHEA Grapalat" w:cs="Sylfaen"/>
                <w:sz w:val="22"/>
                <w:szCs w:val="22"/>
                <w:lang w:val="hy-AM"/>
              </w:rPr>
              <w:t xml:space="preserve">Այս կետը կարգավորվում է «Հայաստանի Հանրապետությունում ստուգումների կազմակերպման և անցկացման մասին» ՀՀ օրենքի հոդված 2.1-ի </w:t>
            </w:r>
            <w:r>
              <w:rPr>
                <w:rFonts w:ascii="GHEA Grapalat" w:hAnsi="GHEA Grapalat" w:cs="Sylfaen"/>
                <w:sz w:val="22"/>
                <w:szCs w:val="22"/>
                <w:lang w:val="hy-AM"/>
              </w:rPr>
              <w:t>4</w:t>
            </w:r>
            <w:r w:rsidRPr="00FE5EC2">
              <w:rPr>
                <w:rFonts w:ascii="GHEA Grapalat" w:hAnsi="GHEA Grapalat" w:cs="Sylfaen"/>
                <w:sz w:val="22"/>
                <w:szCs w:val="22"/>
                <w:lang w:val="hy-AM"/>
              </w:rPr>
              <w:t>-րդ կետով:</w:t>
            </w:r>
            <w:r>
              <w:rPr>
                <w:rFonts w:ascii="GHEA Grapalat" w:hAnsi="GHEA Grapalat" w:cs="Sylfaen"/>
                <w:sz w:val="22"/>
                <w:szCs w:val="22"/>
                <w:lang w:val="hy-AM"/>
              </w:rPr>
              <w:t xml:space="preserve"> Նախագծում ևս մանրամասն կներկայացվի:</w:t>
            </w:r>
          </w:p>
        </w:tc>
      </w:tr>
    </w:tbl>
    <w:p w:rsidR="00D00286" w:rsidRPr="001D0F1A" w:rsidRDefault="00D00286" w:rsidP="001D0F1A">
      <w:pPr>
        <w:tabs>
          <w:tab w:val="left" w:pos="978"/>
        </w:tabs>
        <w:jc w:val="both"/>
        <w:rPr>
          <w:rFonts w:ascii="GHEA Grapalat" w:hAnsi="GHEA Grapalat"/>
          <w:color w:val="0070C0"/>
          <w:spacing w:val="-1"/>
          <w:sz w:val="22"/>
          <w:szCs w:val="22"/>
          <w:lang w:val="af-ZA"/>
        </w:rPr>
      </w:pPr>
    </w:p>
    <w:sectPr w:rsidR="00D00286" w:rsidRPr="001D0F1A" w:rsidSect="001D0F1A">
      <w:pgSz w:w="15840" w:h="12240" w:orient="landscape"/>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24B" w:rsidRDefault="0083724B" w:rsidP="009341BC">
      <w:r>
        <w:separator/>
      </w:r>
    </w:p>
  </w:endnote>
  <w:endnote w:type="continuationSeparator" w:id="0">
    <w:p w:rsidR="0083724B" w:rsidRDefault="0083724B" w:rsidP="0093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TarumianTimes">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24B" w:rsidRDefault="0083724B" w:rsidP="009341BC">
      <w:r>
        <w:separator/>
      </w:r>
    </w:p>
  </w:footnote>
  <w:footnote w:type="continuationSeparator" w:id="0">
    <w:p w:rsidR="0083724B" w:rsidRDefault="0083724B" w:rsidP="00934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2E5E"/>
    <w:multiLevelType w:val="hybridMultilevel"/>
    <w:tmpl w:val="1BC483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E71960"/>
    <w:multiLevelType w:val="hybridMultilevel"/>
    <w:tmpl w:val="3E1893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4A4DBB"/>
    <w:multiLevelType w:val="hybridMultilevel"/>
    <w:tmpl w:val="A9D25BD6"/>
    <w:lvl w:ilvl="0" w:tplc="04190011">
      <w:start w:val="1"/>
      <w:numFmt w:val="decimal"/>
      <w:lvlText w:val="%1)"/>
      <w:lvlJc w:val="left"/>
      <w:pPr>
        <w:ind w:left="1647" w:hanging="360"/>
      </w:p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3" w15:restartNumberingAfterBreak="0">
    <w:nsid w:val="21A60B3D"/>
    <w:multiLevelType w:val="hybridMultilevel"/>
    <w:tmpl w:val="57EA1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525AF"/>
    <w:multiLevelType w:val="hybridMultilevel"/>
    <w:tmpl w:val="00669D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901033"/>
    <w:multiLevelType w:val="hybridMultilevel"/>
    <w:tmpl w:val="F51E06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5C6461"/>
    <w:multiLevelType w:val="hybridMultilevel"/>
    <w:tmpl w:val="90A0C998"/>
    <w:lvl w:ilvl="0" w:tplc="665683C4">
      <w:start w:val="1"/>
      <w:numFmt w:val="decimal"/>
      <w:lvlText w:val="%1."/>
      <w:lvlJc w:val="left"/>
      <w:pPr>
        <w:ind w:left="927" w:hanging="360"/>
      </w:pPr>
      <w:rPr>
        <w:rFonts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B859E5"/>
    <w:multiLevelType w:val="hybridMultilevel"/>
    <w:tmpl w:val="DDF6C962"/>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8" w15:restartNumberingAfterBreak="0">
    <w:nsid w:val="3F491D9B"/>
    <w:multiLevelType w:val="hybridMultilevel"/>
    <w:tmpl w:val="D14045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B07C08"/>
    <w:multiLevelType w:val="hybridMultilevel"/>
    <w:tmpl w:val="5956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D6C61"/>
    <w:multiLevelType w:val="hybridMultilevel"/>
    <w:tmpl w:val="CB0E5D04"/>
    <w:lvl w:ilvl="0" w:tplc="3E6404DC">
      <w:start w:val="4"/>
      <w:numFmt w:val="decimal"/>
      <w:lvlText w:val="%1."/>
      <w:lvlJc w:val="left"/>
      <w:pPr>
        <w:tabs>
          <w:tab w:val="num" w:pos="720"/>
        </w:tabs>
        <w:ind w:left="720" w:hanging="360"/>
      </w:pPr>
      <w:rPr>
        <w:rFonts w:ascii="GHEA Grapalat" w:hAnsi="GHEA Grapala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A26A49"/>
    <w:multiLevelType w:val="hybridMultilevel"/>
    <w:tmpl w:val="D610B7AA"/>
    <w:lvl w:ilvl="0" w:tplc="F8F0CAC8">
      <w:start w:val="1"/>
      <w:numFmt w:val="decimal"/>
      <w:lvlText w:val="%1."/>
      <w:lvlJc w:val="left"/>
      <w:pPr>
        <w:tabs>
          <w:tab w:val="num" w:pos="720"/>
        </w:tabs>
        <w:ind w:left="720" w:hanging="360"/>
      </w:pPr>
      <w:rPr>
        <w:rFonts w:ascii="Arial Unicode" w:hAnsi="Arial Unicode" w:hint="default"/>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AD5264"/>
    <w:multiLevelType w:val="hybridMultilevel"/>
    <w:tmpl w:val="AA786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B77B1"/>
    <w:multiLevelType w:val="hybridMultilevel"/>
    <w:tmpl w:val="423C7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2841CB"/>
    <w:multiLevelType w:val="hybridMultilevel"/>
    <w:tmpl w:val="8BA485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D740FB"/>
    <w:multiLevelType w:val="hybridMultilevel"/>
    <w:tmpl w:val="8D848E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B276D21"/>
    <w:multiLevelType w:val="hybridMultilevel"/>
    <w:tmpl w:val="9F9A65C0"/>
    <w:lvl w:ilvl="0" w:tplc="D4D230E2">
      <w:start w:val="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10"/>
  </w:num>
  <w:num w:numId="5">
    <w:abstractNumId w:val="14"/>
  </w:num>
  <w:num w:numId="6">
    <w:abstractNumId w:val="5"/>
  </w:num>
  <w:num w:numId="7">
    <w:abstractNumId w:val="15"/>
  </w:num>
  <w:num w:numId="8">
    <w:abstractNumId w:val="13"/>
  </w:num>
  <w:num w:numId="9">
    <w:abstractNumId w:val="6"/>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8"/>
  </w:num>
  <w:num w:numId="14">
    <w:abstractNumId w:val="12"/>
  </w:num>
  <w:num w:numId="15">
    <w:abstractNumId w:val="7"/>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5E"/>
    <w:rsid w:val="00001373"/>
    <w:rsid w:val="00002EDA"/>
    <w:rsid w:val="00003342"/>
    <w:rsid w:val="000071B1"/>
    <w:rsid w:val="00015A26"/>
    <w:rsid w:val="000243ED"/>
    <w:rsid w:val="00031BEE"/>
    <w:rsid w:val="00035630"/>
    <w:rsid w:val="00041D0E"/>
    <w:rsid w:val="000528DF"/>
    <w:rsid w:val="00057364"/>
    <w:rsid w:val="0006187B"/>
    <w:rsid w:val="0006642B"/>
    <w:rsid w:val="00080298"/>
    <w:rsid w:val="00080AAA"/>
    <w:rsid w:val="00094548"/>
    <w:rsid w:val="000A4F64"/>
    <w:rsid w:val="000A5A97"/>
    <w:rsid w:val="000B3D40"/>
    <w:rsid w:val="000B602E"/>
    <w:rsid w:val="000B62C0"/>
    <w:rsid w:val="000B75A9"/>
    <w:rsid w:val="000C5AA4"/>
    <w:rsid w:val="000D1B5E"/>
    <w:rsid w:val="000D1D1F"/>
    <w:rsid w:val="000D6B4F"/>
    <w:rsid w:val="000D6CBD"/>
    <w:rsid w:val="000E2E2C"/>
    <w:rsid w:val="000E78CB"/>
    <w:rsid w:val="000F25FC"/>
    <w:rsid w:val="001168DC"/>
    <w:rsid w:val="00116C0C"/>
    <w:rsid w:val="00117292"/>
    <w:rsid w:val="00126798"/>
    <w:rsid w:val="00126FE8"/>
    <w:rsid w:val="00135CBA"/>
    <w:rsid w:val="001437B1"/>
    <w:rsid w:val="00146191"/>
    <w:rsid w:val="001514C2"/>
    <w:rsid w:val="00157AC9"/>
    <w:rsid w:val="0016325E"/>
    <w:rsid w:val="001649CD"/>
    <w:rsid w:val="00175E06"/>
    <w:rsid w:val="00182910"/>
    <w:rsid w:val="0018493B"/>
    <w:rsid w:val="00186947"/>
    <w:rsid w:val="001A5E01"/>
    <w:rsid w:val="001A7A87"/>
    <w:rsid w:val="001B134B"/>
    <w:rsid w:val="001B48C0"/>
    <w:rsid w:val="001B4A33"/>
    <w:rsid w:val="001C33BF"/>
    <w:rsid w:val="001C4B4D"/>
    <w:rsid w:val="001C57A3"/>
    <w:rsid w:val="001C653D"/>
    <w:rsid w:val="001D0F1A"/>
    <w:rsid w:val="001D1259"/>
    <w:rsid w:val="001D42A1"/>
    <w:rsid w:val="001E5086"/>
    <w:rsid w:val="001F596A"/>
    <w:rsid w:val="002009D6"/>
    <w:rsid w:val="00202E53"/>
    <w:rsid w:val="00215B2D"/>
    <w:rsid w:val="00220C9A"/>
    <w:rsid w:val="00233BF0"/>
    <w:rsid w:val="00256919"/>
    <w:rsid w:val="00257504"/>
    <w:rsid w:val="00260410"/>
    <w:rsid w:val="0026592B"/>
    <w:rsid w:val="00266F83"/>
    <w:rsid w:val="00275D06"/>
    <w:rsid w:val="002900E1"/>
    <w:rsid w:val="0029023B"/>
    <w:rsid w:val="00290DDE"/>
    <w:rsid w:val="002911AA"/>
    <w:rsid w:val="00293A13"/>
    <w:rsid w:val="002A47CB"/>
    <w:rsid w:val="002A53E4"/>
    <w:rsid w:val="002A6379"/>
    <w:rsid w:val="002B5BFD"/>
    <w:rsid w:val="002C5696"/>
    <w:rsid w:val="002C5B42"/>
    <w:rsid w:val="002D1AC7"/>
    <w:rsid w:val="002E018A"/>
    <w:rsid w:val="002E65D6"/>
    <w:rsid w:val="002E7DF4"/>
    <w:rsid w:val="002F728D"/>
    <w:rsid w:val="00313514"/>
    <w:rsid w:val="00317D25"/>
    <w:rsid w:val="00340F3D"/>
    <w:rsid w:val="00350364"/>
    <w:rsid w:val="0035528D"/>
    <w:rsid w:val="00356EED"/>
    <w:rsid w:val="0036561C"/>
    <w:rsid w:val="00376666"/>
    <w:rsid w:val="003A23C7"/>
    <w:rsid w:val="003A32F8"/>
    <w:rsid w:val="003C0C06"/>
    <w:rsid w:val="003C10F0"/>
    <w:rsid w:val="003C26C7"/>
    <w:rsid w:val="003C2833"/>
    <w:rsid w:val="003F12A3"/>
    <w:rsid w:val="003F24AF"/>
    <w:rsid w:val="0040099A"/>
    <w:rsid w:val="0040328D"/>
    <w:rsid w:val="00406B78"/>
    <w:rsid w:val="00411ECA"/>
    <w:rsid w:val="00413282"/>
    <w:rsid w:val="0041518F"/>
    <w:rsid w:val="004212EC"/>
    <w:rsid w:val="00423FD7"/>
    <w:rsid w:val="00425F80"/>
    <w:rsid w:val="00426654"/>
    <w:rsid w:val="0042700E"/>
    <w:rsid w:val="004518BB"/>
    <w:rsid w:val="00451BD4"/>
    <w:rsid w:val="00466136"/>
    <w:rsid w:val="004710A9"/>
    <w:rsid w:val="00476635"/>
    <w:rsid w:val="00480A91"/>
    <w:rsid w:val="004841AD"/>
    <w:rsid w:val="00493C4E"/>
    <w:rsid w:val="004A35FF"/>
    <w:rsid w:val="004A44C1"/>
    <w:rsid w:val="004B26BC"/>
    <w:rsid w:val="004B58A0"/>
    <w:rsid w:val="004D213C"/>
    <w:rsid w:val="004E3752"/>
    <w:rsid w:val="004F0B47"/>
    <w:rsid w:val="004F791A"/>
    <w:rsid w:val="00501952"/>
    <w:rsid w:val="005024C6"/>
    <w:rsid w:val="00507A62"/>
    <w:rsid w:val="0051211B"/>
    <w:rsid w:val="005219DA"/>
    <w:rsid w:val="00522FFB"/>
    <w:rsid w:val="00525758"/>
    <w:rsid w:val="00526ACD"/>
    <w:rsid w:val="00554801"/>
    <w:rsid w:val="00555EC0"/>
    <w:rsid w:val="005571FA"/>
    <w:rsid w:val="0057420F"/>
    <w:rsid w:val="00577913"/>
    <w:rsid w:val="005960C6"/>
    <w:rsid w:val="005A5B58"/>
    <w:rsid w:val="005A7C58"/>
    <w:rsid w:val="005D277E"/>
    <w:rsid w:val="005D321B"/>
    <w:rsid w:val="005E4AA3"/>
    <w:rsid w:val="005E5CB7"/>
    <w:rsid w:val="005F66B5"/>
    <w:rsid w:val="00614B94"/>
    <w:rsid w:val="006153F5"/>
    <w:rsid w:val="00621697"/>
    <w:rsid w:val="00622377"/>
    <w:rsid w:val="006340E1"/>
    <w:rsid w:val="00634389"/>
    <w:rsid w:val="006363FB"/>
    <w:rsid w:val="0063765C"/>
    <w:rsid w:val="006418CC"/>
    <w:rsid w:val="0064243F"/>
    <w:rsid w:val="006444F0"/>
    <w:rsid w:val="00651BEE"/>
    <w:rsid w:val="00675998"/>
    <w:rsid w:val="0067608D"/>
    <w:rsid w:val="0067761B"/>
    <w:rsid w:val="00685244"/>
    <w:rsid w:val="00692EED"/>
    <w:rsid w:val="0069756D"/>
    <w:rsid w:val="006A7BBE"/>
    <w:rsid w:val="006B47A4"/>
    <w:rsid w:val="006B4AA9"/>
    <w:rsid w:val="006D38F2"/>
    <w:rsid w:val="006D54B7"/>
    <w:rsid w:val="006E1B6C"/>
    <w:rsid w:val="006E4DF6"/>
    <w:rsid w:val="006E4FB3"/>
    <w:rsid w:val="006E6290"/>
    <w:rsid w:val="006E6A92"/>
    <w:rsid w:val="006F1678"/>
    <w:rsid w:val="006F3AA0"/>
    <w:rsid w:val="006F49BA"/>
    <w:rsid w:val="006F68DC"/>
    <w:rsid w:val="00721EE2"/>
    <w:rsid w:val="00722E9D"/>
    <w:rsid w:val="0073338A"/>
    <w:rsid w:val="007462A4"/>
    <w:rsid w:val="00746636"/>
    <w:rsid w:val="00747CD7"/>
    <w:rsid w:val="007727DD"/>
    <w:rsid w:val="007832D5"/>
    <w:rsid w:val="0079125D"/>
    <w:rsid w:val="00791E1B"/>
    <w:rsid w:val="0079395B"/>
    <w:rsid w:val="0079514E"/>
    <w:rsid w:val="00795995"/>
    <w:rsid w:val="007A2336"/>
    <w:rsid w:val="007A528F"/>
    <w:rsid w:val="007A73DE"/>
    <w:rsid w:val="007B2132"/>
    <w:rsid w:val="007B35D0"/>
    <w:rsid w:val="007B5F84"/>
    <w:rsid w:val="007C3078"/>
    <w:rsid w:val="007D19AA"/>
    <w:rsid w:val="007D1E22"/>
    <w:rsid w:val="007D28B5"/>
    <w:rsid w:val="007E0DD3"/>
    <w:rsid w:val="007E1782"/>
    <w:rsid w:val="007E280E"/>
    <w:rsid w:val="00802F91"/>
    <w:rsid w:val="008125F4"/>
    <w:rsid w:val="00812ED7"/>
    <w:rsid w:val="00815473"/>
    <w:rsid w:val="0082005D"/>
    <w:rsid w:val="00834749"/>
    <w:rsid w:val="0083724B"/>
    <w:rsid w:val="00837630"/>
    <w:rsid w:val="00855042"/>
    <w:rsid w:val="00855EE2"/>
    <w:rsid w:val="008606CA"/>
    <w:rsid w:val="0086389C"/>
    <w:rsid w:val="00870894"/>
    <w:rsid w:val="00876924"/>
    <w:rsid w:val="008816FF"/>
    <w:rsid w:val="00882F55"/>
    <w:rsid w:val="00884B19"/>
    <w:rsid w:val="00893850"/>
    <w:rsid w:val="008A13A6"/>
    <w:rsid w:val="008B1D29"/>
    <w:rsid w:val="008C6D81"/>
    <w:rsid w:val="008D3654"/>
    <w:rsid w:val="008E7B05"/>
    <w:rsid w:val="008F35E1"/>
    <w:rsid w:val="008F5ED6"/>
    <w:rsid w:val="0090058F"/>
    <w:rsid w:val="009017DB"/>
    <w:rsid w:val="00905A56"/>
    <w:rsid w:val="00906C41"/>
    <w:rsid w:val="0091021C"/>
    <w:rsid w:val="0091054C"/>
    <w:rsid w:val="009122EC"/>
    <w:rsid w:val="009177A8"/>
    <w:rsid w:val="00921161"/>
    <w:rsid w:val="00921673"/>
    <w:rsid w:val="00930F67"/>
    <w:rsid w:val="009310A8"/>
    <w:rsid w:val="00932B08"/>
    <w:rsid w:val="009341BC"/>
    <w:rsid w:val="00940CB7"/>
    <w:rsid w:val="0094291F"/>
    <w:rsid w:val="00956A6A"/>
    <w:rsid w:val="00957D03"/>
    <w:rsid w:val="00961E5A"/>
    <w:rsid w:val="00970E1F"/>
    <w:rsid w:val="00972067"/>
    <w:rsid w:val="00976DB1"/>
    <w:rsid w:val="0098499A"/>
    <w:rsid w:val="009859DF"/>
    <w:rsid w:val="0098624C"/>
    <w:rsid w:val="009955CA"/>
    <w:rsid w:val="009C0BD6"/>
    <w:rsid w:val="009C624E"/>
    <w:rsid w:val="009C68EE"/>
    <w:rsid w:val="009D6E43"/>
    <w:rsid w:val="009E3D1D"/>
    <w:rsid w:val="009E74CD"/>
    <w:rsid w:val="009F5EA1"/>
    <w:rsid w:val="009F6160"/>
    <w:rsid w:val="00A25986"/>
    <w:rsid w:val="00A2772B"/>
    <w:rsid w:val="00A31454"/>
    <w:rsid w:val="00A35753"/>
    <w:rsid w:val="00A37F5E"/>
    <w:rsid w:val="00A44300"/>
    <w:rsid w:val="00A52FB1"/>
    <w:rsid w:val="00A6322B"/>
    <w:rsid w:val="00A66D7D"/>
    <w:rsid w:val="00A71D27"/>
    <w:rsid w:val="00A7669E"/>
    <w:rsid w:val="00A879FD"/>
    <w:rsid w:val="00AA368D"/>
    <w:rsid w:val="00AD2FA1"/>
    <w:rsid w:val="00AF4066"/>
    <w:rsid w:val="00B104FF"/>
    <w:rsid w:val="00B17683"/>
    <w:rsid w:val="00B54E69"/>
    <w:rsid w:val="00B716F9"/>
    <w:rsid w:val="00B733EA"/>
    <w:rsid w:val="00B73BF3"/>
    <w:rsid w:val="00B82D15"/>
    <w:rsid w:val="00B90D4D"/>
    <w:rsid w:val="00B94A2D"/>
    <w:rsid w:val="00B96285"/>
    <w:rsid w:val="00BA002C"/>
    <w:rsid w:val="00BA5BB2"/>
    <w:rsid w:val="00BA7134"/>
    <w:rsid w:val="00BB3C60"/>
    <w:rsid w:val="00BB6AFF"/>
    <w:rsid w:val="00BB6CA0"/>
    <w:rsid w:val="00BE7BA2"/>
    <w:rsid w:val="00C04EF3"/>
    <w:rsid w:val="00C077BB"/>
    <w:rsid w:val="00C1340B"/>
    <w:rsid w:val="00C15D70"/>
    <w:rsid w:val="00C206B4"/>
    <w:rsid w:val="00C25472"/>
    <w:rsid w:val="00C35738"/>
    <w:rsid w:val="00C360B4"/>
    <w:rsid w:val="00C40355"/>
    <w:rsid w:val="00C57501"/>
    <w:rsid w:val="00C6336E"/>
    <w:rsid w:val="00C654BC"/>
    <w:rsid w:val="00C77131"/>
    <w:rsid w:val="00C810FF"/>
    <w:rsid w:val="00C84595"/>
    <w:rsid w:val="00C92F3C"/>
    <w:rsid w:val="00CA1152"/>
    <w:rsid w:val="00CA7E65"/>
    <w:rsid w:val="00CE4438"/>
    <w:rsid w:val="00CE6DCB"/>
    <w:rsid w:val="00CE7B4A"/>
    <w:rsid w:val="00CF40C8"/>
    <w:rsid w:val="00CF5AF8"/>
    <w:rsid w:val="00CF6050"/>
    <w:rsid w:val="00CF67D4"/>
    <w:rsid w:val="00D00286"/>
    <w:rsid w:val="00D016D0"/>
    <w:rsid w:val="00D034E3"/>
    <w:rsid w:val="00D03CFC"/>
    <w:rsid w:val="00D06055"/>
    <w:rsid w:val="00D07576"/>
    <w:rsid w:val="00D12994"/>
    <w:rsid w:val="00D21BC2"/>
    <w:rsid w:val="00D36F7F"/>
    <w:rsid w:val="00D403CD"/>
    <w:rsid w:val="00D40C7C"/>
    <w:rsid w:val="00D53DEA"/>
    <w:rsid w:val="00D54A04"/>
    <w:rsid w:val="00D55045"/>
    <w:rsid w:val="00D623A6"/>
    <w:rsid w:val="00D62CF5"/>
    <w:rsid w:val="00D6524D"/>
    <w:rsid w:val="00D660C0"/>
    <w:rsid w:val="00D835F5"/>
    <w:rsid w:val="00D91AAC"/>
    <w:rsid w:val="00D95533"/>
    <w:rsid w:val="00D9556C"/>
    <w:rsid w:val="00D967DA"/>
    <w:rsid w:val="00DA2BCD"/>
    <w:rsid w:val="00DB2252"/>
    <w:rsid w:val="00DD47B0"/>
    <w:rsid w:val="00DE4509"/>
    <w:rsid w:val="00DE55AB"/>
    <w:rsid w:val="00DF5023"/>
    <w:rsid w:val="00E03357"/>
    <w:rsid w:val="00E0400B"/>
    <w:rsid w:val="00E04837"/>
    <w:rsid w:val="00E14EFA"/>
    <w:rsid w:val="00E2599E"/>
    <w:rsid w:val="00E31B37"/>
    <w:rsid w:val="00E34B88"/>
    <w:rsid w:val="00E35520"/>
    <w:rsid w:val="00E57996"/>
    <w:rsid w:val="00E62042"/>
    <w:rsid w:val="00E64621"/>
    <w:rsid w:val="00E651E7"/>
    <w:rsid w:val="00E7122F"/>
    <w:rsid w:val="00E81029"/>
    <w:rsid w:val="00E838D8"/>
    <w:rsid w:val="00E84492"/>
    <w:rsid w:val="00E8635C"/>
    <w:rsid w:val="00E86A99"/>
    <w:rsid w:val="00E930F6"/>
    <w:rsid w:val="00E96CEB"/>
    <w:rsid w:val="00E976D0"/>
    <w:rsid w:val="00E978EE"/>
    <w:rsid w:val="00EB09EC"/>
    <w:rsid w:val="00EB1EA5"/>
    <w:rsid w:val="00EB4BDE"/>
    <w:rsid w:val="00EC0E5C"/>
    <w:rsid w:val="00EC1949"/>
    <w:rsid w:val="00ED0947"/>
    <w:rsid w:val="00ED608E"/>
    <w:rsid w:val="00EE3442"/>
    <w:rsid w:val="00EF0AFE"/>
    <w:rsid w:val="00EF2F55"/>
    <w:rsid w:val="00EF2FD2"/>
    <w:rsid w:val="00EF758A"/>
    <w:rsid w:val="00EF77C7"/>
    <w:rsid w:val="00F0141D"/>
    <w:rsid w:val="00F0165D"/>
    <w:rsid w:val="00F06DC7"/>
    <w:rsid w:val="00F120AC"/>
    <w:rsid w:val="00F16F88"/>
    <w:rsid w:val="00F17B7B"/>
    <w:rsid w:val="00F34358"/>
    <w:rsid w:val="00F36F31"/>
    <w:rsid w:val="00F422F6"/>
    <w:rsid w:val="00F468B2"/>
    <w:rsid w:val="00F641E9"/>
    <w:rsid w:val="00F64229"/>
    <w:rsid w:val="00F65358"/>
    <w:rsid w:val="00F73BD7"/>
    <w:rsid w:val="00F869B0"/>
    <w:rsid w:val="00F93E2A"/>
    <w:rsid w:val="00FA32CC"/>
    <w:rsid w:val="00FB1F8D"/>
    <w:rsid w:val="00FB4380"/>
    <w:rsid w:val="00FB7589"/>
    <w:rsid w:val="00FB7F0A"/>
    <w:rsid w:val="00FE4A29"/>
    <w:rsid w:val="00FE5C43"/>
    <w:rsid w:val="00FE5EC2"/>
    <w:rsid w:val="00FF33E2"/>
    <w:rsid w:val="00FF78AC"/>
    <w:rsid w:val="00FF7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97DA4F-DCF2-47FC-979E-91112783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25E"/>
    <w:rPr>
      <w:sz w:val="24"/>
      <w:szCs w:val="24"/>
      <w:lang w:val="ru-RU" w:eastAsia="ru-RU"/>
    </w:rPr>
  </w:style>
  <w:style w:type="paragraph" w:styleId="Heading2">
    <w:name w:val="heading 2"/>
    <w:basedOn w:val="Normal"/>
    <w:next w:val="Normal"/>
    <w:link w:val="Heading2Char"/>
    <w:unhideWhenUsed/>
    <w:qFormat/>
    <w:rsid w:val="007A73D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C6336E"/>
    <w:pPr>
      <w:keepNext/>
      <w:ind w:right="630"/>
      <w:jc w:val="center"/>
      <w:outlineLvl w:val="2"/>
    </w:pPr>
    <w:rPr>
      <w:rFonts w:ascii="Times Armenian" w:hAnsi="Times Armenian"/>
      <w:sz w:val="30"/>
      <w:szCs w:val="20"/>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163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C5696"/>
    <w:pPr>
      <w:spacing w:line="360" w:lineRule="auto"/>
      <w:ind w:left="4860"/>
    </w:pPr>
    <w:rPr>
      <w:rFonts w:ascii="ArTarumianTimes" w:hAnsi="ArTarumianTimes"/>
      <w:sz w:val="22"/>
      <w:lang w:val="en-US" w:eastAsia="en-US"/>
    </w:rPr>
  </w:style>
  <w:style w:type="character" w:customStyle="1" w:styleId="sb8d990e2">
    <w:name w:val="sb8d990e2"/>
    <w:rsid w:val="003C0C06"/>
    <w:rPr>
      <w:rFonts w:cs="Times New Roman"/>
    </w:rPr>
  </w:style>
  <w:style w:type="paragraph" w:styleId="Header">
    <w:name w:val="header"/>
    <w:basedOn w:val="Normal"/>
    <w:link w:val="HeaderChar"/>
    <w:uiPriority w:val="99"/>
    <w:rsid w:val="009341BC"/>
    <w:pPr>
      <w:tabs>
        <w:tab w:val="center" w:pos="4844"/>
        <w:tab w:val="right" w:pos="9689"/>
      </w:tabs>
    </w:pPr>
  </w:style>
  <w:style w:type="character" w:customStyle="1" w:styleId="HeaderChar">
    <w:name w:val="Header Char"/>
    <w:link w:val="Header"/>
    <w:uiPriority w:val="99"/>
    <w:rsid w:val="009341BC"/>
    <w:rPr>
      <w:sz w:val="24"/>
      <w:szCs w:val="24"/>
      <w:lang w:val="ru-RU" w:eastAsia="ru-RU"/>
    </w:rPr>
  </w:style>
  <w:style w:type="paragraph" w:styleId="Footer">
    <w:name w:val="footer"/>
    <w:basedOn w:val="Normal"/>
    <w:link w:val="FooterChar"/>
    <w:rsid w:val="009341BC"/>
    <w:pPr>
      <w:tabs>
        <w:tab w:val="center" w:pos="4844"/>
        <w:tab w:val="right" w:pos="9689"/>
      </w:tabs>
    </w:pPr>
  </w:style>
  <w:style w:type="character" w:customStyle="1" w:styleId="FooterChar">
    <w:name w:val="Footer Char"/>
    <w:link w:val="Footer"/>
    <w:rsid w:val="009341BC"/>
    <w:rPr>
      <w:sz w:val="24"/>
      <w:szCs w:val="24"/>
      <w:lang w:val="ru-RU" w:eastAsia="ru-RU"/>
    </w:rPr>
  </w:style>
  <w:style w:type="character" w:customStyle="1" w:styleId="Heading3Char">
    <w:name w:val="Heading 3 Char"/>
    <w:link w:val="Heading3"/>
    <w:rsid w:val="00C6336E"/>
    <w:rPr>
      <w:rFonts w:ascii="Times Armenian" w:hAnsi="Times Armenian"/>
      <w:sz w:val="30"/>
      <w:lang w:val="en-GB" w:eastAsia="ru-RU" w:bidi="ar-SA"/>
    </w:rPr>
  </w:style>
  <w:style w:type="paragraph" w:customStyle="1" w:styleId="norm">
    <w:name w:val="norm"/>
    <w:basedOn w:val="Normal"/>
    <w:link w:val="normChar"/>
    <w:rsid w:val="00C6336E"/>
    <w:pPr>
      <w:spacing w:line="480" w:lineRule="auto"/>
      <w:ind w:firstLine="709"/>
      <w:jc w:val="both"/>
    </w:pPr>
    <w:rPr>
      <w:rFonts w:ascii="Arial Armenian" w:hAnsi="Arial Armenian"/>
      <w:sz w:val="22"/>
      <w:szCs w:val="20"/>
      <w:lang w:val="en-US"/>
    </w:rPr>
  </w:style>
  <w:style w:type="character" w:customStyle="1" w:styleId="normChar">
    <w:name w:val="norm Char"/>
    <w:link w:val="norm"/>
    <w:locked/>
    <w:rsid w:val="00C6336E"/>
    <w:rPr>
      <w:rFonts w:ascii="Arial Armenian" w:hAnsi="Arial Armenian"/>
      <w:sz w:val="22"/>
      <w:lang w:val="en-US" w:eastAsia="ru-RU" w:bidi="ar-SA"/>
    </w:rPr>
  </w:style>
  <w:style w:type="paragraph" w:customStyle="1" w:styleId="DefaultParagraphFontParaChar">
    <w:name w:val="Default Paragraph Font Para Char"/>
    <w:basedOn w:val="Normal"/>
    <w:locked/>
    <w:rsid w:val="004A35FF"/>
    <w:pPr>
      <w:spacing w:after="160"/>
    </w:pPr>
    <w:rPr>
      <w:rFonts w:ascii="Verdana" w:eastAsia="Batang" w:hAnsi="Verdana" w:cs="Verdana"/>
      <w:lang w:val="en-GB" w:eastAsia="en-US"/>
    </w:rPr>
  </w:style>
  <w:style w:type="paragraph" w:styleId="ListParagraph">
    <w:name w:val="List Paragraph"/>
    <w:basedOn w:val="Normal"/>
    <w:uiPriority w:val="34"/>
    <w:qFormat/>
    <w:rsid w:val="0094291F"/>
    <w:pPr>
      <w:spacing w:after="200" w:line="276" w:lineRule="auto"/>
      <w:ind w:left="720"/>
      <w:contextualSpacing/>
    </w:pPr>
    <w:rPr>
      <w:rFonts w:ascii="Calibri" w:eastAsia="Calibri" w:hAnsi="Calibri"/>
      <w:sz w:val="22"/>
      <w:szCs w:val="22"/>
      <w:lang w:val="en-US" w:eastAsia="en-US"/>
    </w:rPr>
  </w:style>
  <w:style w:type="character" w:customStyle="1" w:styleId="apple-converted-space">
    <w:name w:val="apple-converted-space"/>
    <w:rsid w:val="0094291F"/>
  </w:style>
  <w:style w:type="paragraph" w:customStyle="1" w:styleId="Style7">
    <w:name w:val="Style7"/>
    <w:basedOn w:val="Normal"/>
    <w:uiPriority w:val="99"/>
    <w:rsid w:val="007E280E"/>
    <w:pPr>
      <w:widowControl w:val="0"/>
      <w:autoSpaceDE w:val="0"/>
      <w:autoSpaceDN w:val="0"/>
      <w:adjustRightInd w:val="0"/>
      <w:spacing w:line="353" w:lineRule="exact"/>
      <w:ind w:firstLine="698"/>
      <w:jc w:val="both"/>
    </w:pPr>
    <w:rPr>
      <w:rFonts w:ascii="Sylfaen" w:hAnsi="Sylfaen"/>
    </w:rPr>
  </w:style>
  <w:style w:type="character" w:customStyle="1" w:styleId="FontStyle13">
    <w:name w:val="Font Style13"/>
    <w:uiPriority w:val="99"/>
    <w:rsid w:val="007E280E"/>
    <w:rPr>
      <w:rFonts w:ascii="Sylfaen" w:hAnsi="Sylfaen" w:cs="Sylfaen"/>
      <w:b/>
      <w:bCs/>
      <w:sz w:val="22"/>
      <w:szCs w:val="22"/>
    </w:rPr>
  </w:style>
  <w:style w:type="character" w:customStyle="1" w:styleId="FontStyle14">
    <w:name w:val="Font Style14"/>
    <w:uiPriority w:val="99"/>
    <w:rsid w:val="007E280E"/>
    <w:rPr>
      <w:rFonts w:ascii="Sylfaen" w:hAnsi="Sylfaen" w:cs="Sylfaen"/>
      <w:b/>
      <w:bCs/>
      <w:i/>
      <w:iCs/>
      <w:sz w:val="22"/>
      <w:szCs w:val="22"/>
    </w:rPr>
  </w:style>
  <w:style w:type="character" w:styleId="Strong">
    <w:name w:val="Strong"/>
    <w:qFormat/>
    <w:rsid w:val="007B35D0"/>
    <w:rPr>
      <w:b/>
      <w:bCs/>
    </w:rPr>
  </w:style>
  <w:style w:type="paragraph" w:styleId="NormalWeb">
    <w:name w:val="Normal (Web)"/>
    <w:basedOn w:val="Normal"/>
    <w:rsid w:val="00117292"/>
    <w:pPr>
      <w:spacing w:before="100" w:beforeAutospacing="1" w:after="100" w:afterAutospacing="1"/>
    </w:pPr>
  </w:style>
  <w:style w:type="paragraph" w:styleId="BodyText">
    <w:name w:val="Body Text"/>
    <w:basedOn w:val="Normal"/>
    <w:link w:val="BodyTextChar"/>
    <w:rsid w:val="00F06DC7"/>
    <w:pPr>
      <w:spacing w:after="120"/>
    </w:pPr>
  </w:style>
  <w:style w:type="character" w:customStyle="1" w:styleId="BodyTextChar">
    <w:name w:val="Body Text Char"/>
    <w:link w:val="BodyText"/>
    <w:rsid w:val="00F06DC7"/>
    <w:rPr>
      <w:sz w:val="24"/>
      <w:szCs w:val="24"/>
      <w:lang w:val="ru-RU" w:eastAsia="ru-RU"/>
    </w:rPr>
  </w:style>
  <w:style w:type="paragraph" w:styleId="FootnoteText">
    <w:name w:val="footnote text"/>
    <w:basedOn w:val="Normal"/>
    <w:link w:val="FootnoteTextChar"/>
    <w:rsid w:val="00622377"/>
    <w:rPr>
      <w:sz w:val="20"/>
      <w:szCs w:val="20"/>
    </w:rPr>
  </w:style>
  <w:style w:type="character" w:customStyle="1" w:styleId="FootnoteTextChar">
    <w:name w:val="Footnote Text Char"/>
    <w:link w:val="FootnoteText"/>
    <w:rsid w:val="00622377"/>
    <w:rPr>
      <w:lang w:val="ru-RU" w:eastAsia="ru-RU"/>
    </w:rPr>
  </w:style>
  <w:style w:type="character" w:styleId="FootnoteReference">
    <w:name w:val="footnote reference"/>
    <w:rsid w:val="00622377"/>
    <w:rPr>
      <w:vertAlign w:val="superscript"/>
    </w:rPr>
  </w:style>
  <w:style w:type="paragraph" w:styleId="NoSpacing">
    <w:name w:val="No Spacing"/>
    <w:qFormat/>
    <w:rsid w:val="0069756D"/>
    <w:rPr>
      <w:rFonts w:ascii="Calibri" w:eastAsia="Calibri" w:hAnsi="Calibri" w:cs="Calibri"/>
      <w:sz w:val="22"/>
      <w:szCs w:val="22"/>
      <w:lang w:val="ru-RU" w:eastAsia="en-US"/>
    </w:rPr>
  </w:style>
  <w:style w:type="character" w:customStyle="1" w:styleId="Heading2Char">
    <w:name w:val="Heading 2 Char"/>
    <w:link w:val="Heading2"/>
    <w:rsid w:val="007A73DE"/>
    <w:rPr>
      <w:rFonts w:ascii="Calibri Light" w:eastAsia="Times New Roman" w:hAnsi="Calibri Light" w:cs="Times New Roman"/>
      <w:b/>
      <w:bCs/>
      <w:i/>
      <w:iCs/>
      <w:sz w:val="28"/>
      <w:szCs w:val="28"/>
      <w:lang w:val="ru-RU" w:eastAsia="ru-RU"/>
    </w:rPr>
  </w:style>
  <w:style w:type="paragraph" w:styleId="BalloonText">
    <w:name w:val="Balloon Text"/>
    <w:basedOn w:val="Normal"/>
    <w:link w:val="BalloonTextChar"/>
    <w:rsid w:val="006363FB"/>
    <w:rPr>
      <w:rFonts w:ascii="Segoe UI" w:hAnsi="Segoe UI" w:cs="Segoe UI"/>
      <w:sz w:val="18"/>
      <w:szCs w:val="18"/>
    </w:rPr>
  </w:style>
  <w:style w:type="character" w:customStyle="1" w:styleId="BalloonTextChar">
    <w:name w:val="Balloon Text Char"/>
    <w:link w:val="BalloonText"/>
    <w:rsid w:val="006363FB"/>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1024">
      <w:bodyDiv w:val="1"/>
      <w:marLeft w:val="0"/>
      <w:marRight w:val="0"/>
      <w:marTop w:val="0"/>
      <w:marBottom w:val="0"/>
      <w:divBdr>
        <w:top w:val="none" w:sz="0" w:space="0" w:color="auto"/>
        <w:left w:val="none" w:sz="0" w:space="0" w:color="auto"/>
        <w:bottom w:val="none" w:sz="0" w:space="0" w:color="auto"/>
        <w:right w:val="none" w:sz="0" w:space="0" w:color="auto"/>
      </w:divBdr>
    </w:div>
    <w:div w:id="55904366">
      <w:bodyDiv w:val="1"/>
      <w:marLeft w:val="0"/>
      <w:marRight w:val="0"/>
      <w:marTop w:val="0"/>
      <w:marBottom w:val="0"/>
      <w:divBdr>
        <w:top w:val="none" w:sz="0" w:space="0" w:color="auto"/>
        <w:left w:val="none" w:sz="0" w:space="0" w:color="auto"/>
        <w:bottom w:val="none" w:sz="0" w:space="0" w:color="auto"/>
        <w:right w:val="none" w:sz="0" w:space="0" w:color="auto"/>
      </w:divBdr>
    </w:div>
    <w:div w:id="150491066">
      <w:bodyDiv w:val="1"/>
      <w:marLeft w:val="0"/>
      <w:marRight w:val="0"/>
      <w:marTop w:val="0"/>
      <w:marBottom w:val="0"/>
      <w:divBdr>
        <w:top w:val="none" w:sz="0" w:space="0" w:color="auto"/>
        <w:left w:val="none" w:sz="0" w:space="0" w:color="auto"/>
        <w:bottom w:val="none" w:sz="0" w:space="0" w:color="auto"/>
        <w:right w:val="none" w:sz="0" w:space="0" w:color="auto"/>
      </w:divBdr>
    </w:div>
    <w:div w:id="195974942">
      <w:bodyDiv w:val="1"/>
      <w:marLeft w:val="0"/>
      <w:marRight w:val="0"/>
      <w:marTop w:val="0"/>
      <w:marBottom w:val="0"/>
      <w:divBdr>
        <w:top w:val="none" w:sz="0" w:space="0" w:color="auto"/>
        <w:left w:val="none" w:sz="0" w:space="0" w:color="auto"/>
        <w:bottom w:val="none" w:sz="0" w:space="0" w:color="auto"/>
        <w:right w:val="none" w:sz="0" w:space="0" w:color="auto"/>
      </w:divBdr>
    </w:div>
    <w:div w:id="273442132">
      <w:bodyDiv w:val="1"/>
      <w:marLeft w:val="0"/>
      <w:marRight w:val="0"/>
      <w:marTop w:val="0"/>
      <w:marBottom w:val="0"/>
      <w:divBdr>
        <w:top w:val="none" w:sz="0" w:space="0" w:color="auto"/>
        <w:left w:val="none" w:sz="0" w:space="0" w:color="auto"/>
        <w:bottom w:val="none" w:sz="0" w:space="0" w:color="auto"/>
        <w:right w:val="none" w:sz="0" w:space="0" w:color="auto"/>
      </w:divBdr>
    </w:div>
    <w:div w:id="533692352">
      <w:bodyDiv w:val="1"/>
      <w:marLeft w:val="0"/>
      <w:marRight w:val="0"/>
      <w:marTop w:val="0"/>
      <w:marBottom w:val="0"/>
      <w:divBdr>
        <w:top w:val="none" w:sz="0" w:space="0" w:color="auto"/>
        <w:left w:val="none" w:sz="0" w:space="0" w:color="auto"/>
        <w:bottom w:val="none" w:sz="0" w:space="0" w:color="auto"/>
        <w:right w:val="none" w:sz="0" w:space="0" w:color="auto"/>
      </w:divBdr>
    </w:div>
    <w:div w:id="631449751">
      <w:bodyDiv w:val="1"/>
      <w:marLeft w:val="0"/>
      <w:marRight w:val="0"/>
      <w:marTop w:val="0"/>
      <w:marBottom w:val="0"/>
      <w:divBdr>
        <w:top w:val="none" w:sz="0" w:space="0" w:color="auto"/>
        <w:left w:val="none" w:sz="0" w:space="0" w:color="auto"/>
        <w:bottom w:val="none" w:sz="0" w:space="0" w:color="auto"/>
        <w:right w:val="none" w:sz="0" w:space="0" w:color="auto"/>
      </w:divBdr>
    </w:div>
    <w:div w:id="653611407">
      <w:bodyDiv w:val="1"/>
      <w:marLeft w:val="0"/>
      <w:marRight w:val="0"/>
      <w:marTop w:val="0"/>
      <w:marBottom w:val="0"/>
      <w:divBdr>
        <w:top w:val="none" w:sz="0" w:space="0" w:color="auto"/>
        <w:left w:val="none" w:sz="0" w:space="0" w:color="auto"/>
        <w:bottom w:val="none" w:sz="0" w:space="0" w:color="auto"/>
        <w:right w:val="none" w:sz="0" w:space="0" w:color="auto"/>
      </w:divBdr>
    </w:div>
    <w:div w:id="715735761">
      <w:bodyDiv w:val="1"/>
      <w:marLeft w:val="0"/>
      <w:marRight w:val="0"/>
      <w:marTop w:val="0"/>
      <w:marBottom w:val="0"/>
      <w:divBdr>
        <w:top w:val="none" w:sz="0" w:space="0" w:color="auto"/>
        <w:left w:val="none" w:sz="0" w:space="0" w:color="auto"/>
        <w:bottom w:val="none" w:sz="0" w:space="0" w:color="auto"/>
        <w:right w:val="none" w:sz="0" w:space="0" w:color="auto"/>
      </w:divBdr>
    </w:div>
    <w:div w:id="815948020">
      <w:bodyDiv w:val="1"/>
      <w:marLeft w:val="0"/>
      <w:marRight w:val="0"/>
      <w:marTop w:val="0"/>
      <w:marBottom w:val="0"/>
      <w:divBdr>
        <w:top w:val="none" w:sz="0" w:space="0" w:color="auto"/>
        <w:left w:val="none" w:sz="0" w:space="0" w:color="auto"/>
        <w:bottom w:val="none" w:sz="0" w:space="0" w:color="auto"/>
        <w:right w:val="none" w:sz="0" w:space="0" w:color="auto"/>
      </w:divBdr>
    </w:div>
    <w:div w:id="836842038">
      <w:bodyDiv w:val="1"/>
      <w:marLeft w:val="0"/>
      <w:marRight w:val="0"/>
      <w:marTop w:val="0"/>
      <w:marBottom w:val="0"/>
      <w:divBdr>
        <w:top w:val="none" w:sz="0" w:space="0" w:color="auto"/>
        <w:left w:val="none" w:sz="0" w:space="0" w:color="auto"/>
        <w:bottom w:val="none" w:sz="0" w:space="0" w:color="auto"/>
        <w:right w:val="none" w:sz="0" w:space="0" w:color="auto"/>
      </w:divBdr>
    </w:div>
    <w:div w:id="1067604129">
      <w:bodyDiv w:val="1"/>
      <w:marLeft w:val="0"/>
      <w:marRight w:val="0"/>
      <w:marTop w:val="0"/>
      <w:marBottom w:val="0"/>
      <w:divBdr>
        <w:top w:val="none" w:sz="0" w:space="0" w:color="auto"/>
        <w:left w:val="none" w:sz="0" w:space="0" w:color="auto"/>
        <w:bottom w:val="none" w:sz="0" w:space="0" w:color="auto"/>
        <w:right w:val="none" w:sz="0" w:space="0" w:color="auto"/>
      </w:divBdr>
    </w:div>
    <w:div w:id="1096172410">
      <w:bodyDiv w:val="1"/>
      <w:marLeft w:val="0"/>
      <w:marRight w:val="0"/>
      <w:marTop w:val="0"/>
      <w:marBottom w:val="0"/>
      <w:divBdr>
        <w:top w:val="none" w:sz="0" w:space="0" w:color="auto"/>
        <w:left w:val="none" w:sz="0" w:space="0" w:color="auto"/>
        <w:bottom w:val="none" w:sz="0" w:space="0" w:color="auto"/>
        <w:right w:val="none" w:sz="0" w:space="0" w:color="auto"/>
      </w:divBdr>
    </w:div>
    <w:div w:id="1101947552">
      <w:bodyDiv w:val="1"/>
      <w:marLeft w:val="0"/>
      <w:marRight w:val="0"/>
      <w:marTop w:val="0"/>
      <w:marBottom w:val="0"/>
      <w:divBdr>
        <w:top w:val="none" w:sz="0" w:space="0" w:color="auto"/>
        <w:left w:val="none" w:sz="0" w:space="0" w:color="auto"/>
        <w:bottom w:val="none" w:sz="0" w:space="0" w:color="auto"/>
        <w:right w:val="none" w:sz="0" w:space="0" w:color="auto"/>
      </w:divBdr>
    </w:div>
    <w:div w:id="1186943033">
      <w:bodyDiv w:val="1"/>
      <w:marLeft w:val="0"/>
      <w:marRight w:val="0"/>
      <w:marTop w:val="0"/>
      <w:marBottom w:val="0"/>
      <w:divBdr>
        <w:top w:val="none" w:sz="0" w:space="0" w:color="auto"/>
        <w:left w:val="none" w:sz="0" w:space="0" w:color="auto"/>
        <w:bottom w:val="none" w:sz="0" w:space="0" w:color="auto"/>
        <w:right w:val="none" w:sz="0" w:space="0" w:color="auto"/>
      </w:divBdr>
    </w:div>
    <w:div w:id="1267692355">
      <w:bodyDiv w:val="1"/>
      <w:marLeft w:val="0"/>
      <w:marRight w:val="0"/>
      <w:marTop w:val="0"/>
      <w:marBottom w:val="0"/>
      <w:divBdr>
        <w:top w:val="none" w:sz="0" w:space="0" w:color="auto"/>
        <w:left w:val="none" w:sz="0" w:space="0" w:color="auto"/>
        <w:bottom w:val="none" w:sz="0" w:space="0" w:color="auto"/>
        <w:right w:val="none" w:sz="0" w:space="0" w:color="auto"/>
      </w:divBdr>
    </w:div>
    <w:div w:id="1300846708">
      <w:bodyDiv w:val="1"/>
      <w:marLeft w:val="0"/>
      <w:marRight w:val="0"/>
      <w:marTop w:val="0"/>
      <w:marBottom w:val="0"/>
      <w:divBdr>
        <w:top w:val="none" w:sz="0" w:space="0" w:color="auto"/>
        <w:left w:val="none" w:sz="0" w:space="0" w:color="auto"/>
        <w:bottom w:val="none" w:sz="0" w:space="0" w:color="auto"/>
        <w:right w:val="none" w:sz="0" w:space="0" w:color="auto"/>
      </w:divBdr>
    </w:div>
    <w:div w:id="1327442081">
      <w:bodyDiv w:val="1"/>
      <w:marLeft w:val="0"/>
      <w:marRight w:val="0"/>
      <w:marTop w:val="0"/>
      <w:marBottom w:val="0"/>
      <w:divBdr>
        <w:top w:val="none" w:sz="0" w:space="0" w:color="auto"/>
        <w:left w:val="none" w:sz="0" w:space="0" w:color="auto"/>
        <w:bottom w:val="none" w:sz="0" w:space="0" w:color="auto"/>
        <w:right w:val="none" w:sz="0" w:space="0" w:color="auto"/>
      </w:divBdr>
    </w:div>
    <w:div w:id="1718318765">
      <w:bodyDiv w:val="1"/>
      <w:marLeft w:val="0"/>
      <w:marRight w:val="0"/>
      <w:marTop w:val="0"/>
      <w:marBottom w:val="0"/>
      <w:divBdr>
        <w:top w:val="none" w:sz="0" w:space="0" w:color="auto"/>
        <w:left w:val="none" w:sz="0" w:space="0" w:color="auto"/>
        <w:bottom w:val="none" w:sz="0" w:space="0" w:color="auto"/>
        <w:right w:val="none" w:sz="0" w:space="0" w:color="auto"/>
      </w:divBdr>
    </w:div>
    <w:div w:id="1784879429">
      <w:bodyDiv w:val="1"/>
      <w:marLeft w:val="0"/>
      <w:marRight w:val="0"/>
      <w:marTop w:val="0"/>
      <w:marBottom w:val="0"/>
      <w:divBdr>
        <w:top w:val="none" w:sz="0" w:space="0" w:color="auto"/>
        <w:left w:val="none" w:sz="0" w:space="0" w:color="auto"/>
        <w:bottom w:val="none" w:sz="0" w:space="0" w:color="auto"/>
        <w:right w:val="none" w:sz="0" w:space="0" w:color="auto"/>
      </w:divBdr>
    </w:div>
    <w:div w:id="1831218103">
      <w:bodyDiv w:val="1"/>
      <w:marLeft w:val="0"/>
      <w:marRight w:val="0"/>
      <w:marTop w:val="0"/>
      <w:marBottom w:val="0"/>
      <w:divBdr>
        <w:top w:val="none" w:sz="0" w:space="0" w:color="auto"/>
        <w:left w:val="none" w:sz="0" w:space="0" w:color="auto"/>
        <w:bottom w:val="none" w:sz="0" w:space="0" w:color="auto"/>
        <w:right w:val="none" w:sz="0" w:space="0" w:color="auto"/>
      </w:divBdr>
    </w:div>
    <w:div w:id="1923682887">
      <w:bodyDiv w:val="1"/>
      <w:marLeft w:val="0"/>
      <w:marRight w:val="0"/>
      <w:marTop w:val="0"/>
      <w:marBottom w:val="0"/>
      <w:divBdr>
        <w:top w:val="none" w:sz="0" w:space="0" w:color="auto"/>
        <w:left w:val="none" w:sz="0" w:space="0" w:color="auto"/>
        <w:bottom w:val="none" w:sz="0" w:space="0" w:color="auto"/>
        <w:right w:val="none" w:sz="0" w:space="0" w:color="auto"/>
      </w:divBdr>
    </w:div>
    <w:div w:id="19309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E0D9C-1B2F-449C-9A2C-F715F3622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7642</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ԱՄՓՈՓԱԹԵՐԹ</vt:lpstr>
      <vt:lpstr>ԱՄՓՈՓԱԹԵՐԹ</vt:lpstr>
    </vt:vector>
  </TitlesOfParts>
  <Company>Ministry of Justice of the Republic of Armenia</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ԱՄՓՈՓԱԹԵՐԹ</dc:title>
  <dc:subject/>
  <dc:creator>Arevik Stepanyan</dc:creator>
  <cp:keywords>https://mul2.gov.am/tasks/106499/oneclick/ampopatert.docx?token=4f468843b69c6e5935fdc64fa84b7e42</cp:keywords>
  <cp:lastModifiedBy>Lena Nikoghosyan</cp:lastModifiedBy>
  <cp:revision>2</cp:revision>
  <cp:lastPrinted>2018-11-01T12:44:00Z</cp:lastPrinted>
  <dcterms:created xsi:type="dcterms:W3CDTF">2019-07-30T15:11:00Z</dcterms:created>
  <dcterms:modified xsi:type="dcterms:W3CDTF">2019-07-30T15:11:00Z</dcterms:modified>
</cp:coreProperties>
</file>