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B8" w:rsidRDefault="00F730B8" w:rsidP="00F730B8">
      <w:pPr>
        <w:spacing w:line="360" w:lineRule="auto"/>
        <w:jc w:val="right"/>
        <w:rPr>
          <w:rFonts w:ascii="GHEA Mariam" w:hAnsi="GHEA Mariam" w:cs="Sylfaen"/>
          <w:b/>
          <w:sz w:val="22"/>
          <w:szCs w:val="22"/>
        </w:rPr>
      </w:pPr>
      <w:r>
        <w:rPr>
          <w:rFonts w:ascii="GHEA Mariam" w:hAnsi="GHEA Mariam" w:cs="Sylfaen"/>
          <w:b/>
          <w:sz w:val="22"/>
          <w:szCs w:val="22"/>
        </w:rPr>
        <w:t>նախագիծ</w:t>
      </w: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 w:cs="Sylfaen"/>
          <w:b/>
          <w:sz w:val="22"/>
          <w:szCs w:val="22"/>
        </w:rPr>
      </w:pPr>
      <w:r w:rsidRPr="00F730B8">
        <w:rPr>
          <w:rFonts w:ascii="GHEA Mariam" w:hAnsi="GHEA Mariam" w:cs="Sylfaen"/>
          <w:b/>
          <w:sz w:val="22"/>
          <w:szCs w:val="22"/>
        </w:rPr>
        <w:t>ՀԱՅԱ</w:t>
      </w:r>
      <w:r w:rsidRPr="00F730B8">
        <w:rPr>
          <w:rFonts w:ascii="GHEA Mariam" w:hAnsi="GHEA Mariam" w:cs="IRTEK Courier"/>
          <w:b/>
          <w:sz w:val="22"/>
          <w:szCs w:val="22"/>
        </w:rPr>
        <w:t>U</w:t>
      </w:r>
      <w:r w:rsidRPr="00F730B8">
        <w:rPr>
          <w:rFonts w:ascii="GHEA Mariam" w:hAnsi="GHEA Mariam" w:cs="Sylfaen"/>
          <w:b/>
          <w:sz w:val="22"/>
          <w:szCs w:val="22"/>
        </w:rPr>
        <w:t>ՏԱՆԻ</w:t>
      </w:r>
      <w:r w:rsidRPr="00F730B8">
        <w:rPr>
          <w:rFonts w:ascii="GHEA Mariam" w:hAnsi="GHEA Mariam" w:cs="IRTEK Courier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ՀԱՆՐԱՊԵՏՈՒԹՅԱՆ</w:t>
      </w:r>
      <w:r w:rsidRPr="00F730B8">
        <w:rPr>
          <w:rFonts w:ascii="GHEA Mariam" w:hAnsi="GHEA Mariam" w:cs="IRTEK Courier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ԿԱՌԱՎԱՐՈՒԹՅՈՒՆ</w:t>
      </w: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 w:cs="Sylfaen"/>
          <w:b/>
          <w:sz w:val="22"/>
          <w:szCs w:val="22"/>
        </w:rPr>
      </w:pPr>
      <w:r w:rsidRPr="00F730B8">
        <w:rPr>
          <w:rFonts w:ascii="GHEA Mariam" w:hAnsi="GHEA Mariam" w:cs="Sylfaen"/>
          <w:b/>
          <w:sz w:val="22"/>
          <w:szCs w:val="22"/>
        </w:rPr>
        <w:t>ՈՐՈՇՈՒՄ</w:t>
      </w: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 w:cs="IRTEK Courier"/>
          <w:b/>
          <w:sz w:val="22"/>
          <w:szCs w:val="22"/>
        </w:rPr>
      </w:pP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 w:cs="IRTEK Courier"/>
          <w:b/>
          <w:sz w:val="22"/>
          <w:szCs w:val="22"/>
        </w:rPr>
      </w:pPr>
      <w:r w:rsidRPr="00F730B8">
        <w:rPr>
          <w:rFonts w:ascii="GHEA Mariam" w:hAnsi="GHEA Mariam" w:cs="Sylfaen"/>
          <w:b/>
          <w:sz w:val="22"/>
          <w:szCs w:val="22"/>
          <w:u w:val="single"/>
        </w:rPr>
        <w:tab/>
      </w:r>
      <w:r w:rsidRPr="00F730B8">
        <w:rPr>
          <w:rFonts w:ascii="GHEA Mariam" w:hAnsi="GHEA Mariam" w:cs="Sylfaen"/>
          <w:b/>
          <w:sz w:val="22"/>
          <w:szCs w:val="22"/>
        </w:rPr>
        <w:t xml:space="preserve">  </w:t>
      </w:r>
      <w:r w:rsidRPr="00F730B8">
        <w:rPr>
          <w:rFonts w:ascii="GHEA Mariam" w:hAnsi="GHEA Mariam" w:cs="Sylfaen"/>
          <w:b/>
          <w:sz w:val="22"/>
          <w:szCs w:val="22"/>
          <w:u w:val="single"/>
        </w:rPr>
        <w:tab/>
      </w:r>
      <w:r w:rsidRPr="00F730B8">
        <w:rPr>
          <w:rFonts w:ascii="GHEA Mariam" w:hAnsi="GHEA Mariam" w:cs="Sylfaen"/>
          <w:b/>
          <w:sz w:val="22"/>
          <w:szCs w:val="22"/>
          <w:u w:val="single"/>
        </w:rPr>
        <w:tab/>
      </w:r>
      <w:r w:rsidRPr="00F730B8">
        <w:rPr>
          <w:rFonts w:ascii="GHEA Mariam" w:hAnsi="GHEA Mariam" w:cs="Sylfaen"/>
          <w:b/>
          <w:sz w:val="22"/>
          <w:szCs w:val="22"/>
          <w:u w:val="single"/>
        </w:rPr>
        <w:tab/>
      </w:r>
      <w:r w:rsidRPr="00F730B8">
        <w:rPr>
          <w:rFonts w:ascii="GHEA Mariam" w:hAnsi="GHEA Mariam" w:cs="Sylfaen"/>
          <w:b/>
          <w:sz w:val="22"/>
          <w:szCs w:val="22"/>
        </w:rPr>
        <w:t xml:space="preserve">  ի</w:t>
      </w:r>
      <w:r w:rsidRPr="00F730B8">
        <w:rPr>
          <w:rFonts w:ascii="GHEA Mariam" w:hAnsi="GHEA Mariam" w:cs="IRTEK Courier"/>
          <w:b/>
          <w:sz w:val="22"/>
          <w:szCs w:val="22"/>
        </w:rPr>
        <w:t xml:space="preserve"> 2011 </w:t>
      </w:r>
      <w:r w:rsidRPr="00F730B8">
        <w:rPr>
          <w:rFonts w:ascii="GHEA Mariam" w:hAnsi="GHEA Mariam" w:cs="Sylfaen"/>
          <w:b/>
          <w:sz w:val="22"/>
          <w:szCs w:val="22"/>
        </w:rPr>
        <w:t>թվականի</w:t>
      </w:r>
      <w:r w:rsidRPr="00F730B8">
        <w:rPr>
          <w:rFonts w:ascii="GHEA Mariam" w:hAnsi="GHEA Mariam" w:cs="IRTEK Courier"/>
          <w:b/>
          <w:sz w:val="22"/>
          <w:szCs w:val="22"/>
        </w:rPr>
        <w:t xml:space="preserve"> N ______-</w:t>
      </w:r>
      <w:r w:rsidRPr="00F730B8">
        <w:rPr>
          <w:rFonts w:ascii="GHEA Mariam" w:hAnsi="GHEA Mariam" w:cs="Sylfaen"/>
          <w:b/>
          <w:sz w:val="22"/>
          <w:szCs w:val="22"/>
        </w:rPr>
        <w:t>Ն</w:t>
      </w:r>
    </w:p>
    <w:p w:rsidR="00F730B8" w:rsidRPr="00F730B8" w:rsidRDefault="00F730B8" w:rsidP="00F730B8">
      <w:pPr>
        <w:spacing w:line="360" w:lineRule="auto"/>
        <w:rPr>
          <w:rFonts w:ascii="GHEA Mariam" w:hAnsi="GHEA Mariam" w:cs="IRTEK Courier"/>
          <w:b/>
          <w:sz w:val="22"/>
          <w:szCs w:val="22"/>
        </w:rPr>
      </w:pPr>
      <w:r w:rsidRPr="00F730B8">
        <w:rPr>
          <w:rFonts w:ascii="GHEA Mariam" w:hAnsi="GHEA Mariam" w:cs="IRTEK Courier"/>
          <w:b/>
          <w:sz w:val="22"/>
          <w:szCs w:val="22"/>
        </w:rPr>
        <w:t xml:space="preserve">                                                                                </w:t>
      </w:r>
    </w:p>
    <w:p w:rsidR="00F730B8" w:rsidRPr="00F730B8" w:rsidRDefault="00F730B8" w:rsidP="00F730B8">
      <w:pPr>
        <w:jc w:val="center"/>
        <w:rPr>
          <w:rFonts w:ascii="GHEA Mariam" w:hAnsi="GHEA Mariam" w:cs="IRTEK Courier"/>
          <w:b/>
          <w:sz w:val="22"/>
          <w:szCs w:val="22"/>
        </w:rPr>
      </w:pPr>
      <w:r w:rsidRPr="00F730B8">
        <w:rPr>
          <w:rFonts w:ascii="GHEA Mariam" w:hAnsi="GHEA Mariam" w:cs="Sylfaen"/>
          <w:b/>
          <w:sz w:val="22"/>
          <w:szCs w:val="22"/>
        </w:rPr>
        <w:t>ՀԱՅԱՍՏԱՆԻ ՀԱՆՐԱՊԵՏՈՒԹՅԱՆ ՖԻՆԱՆՍՆԵՐԻ ՆԱԽԱՐԱՐՈՒԹՅԱՆ ԱՇԽԱՏԱԿԱԶՄԻ ԼԻՑԵՆԶԱՎՈՐՄԱՆ ՊԱՅՄԱՆՆԵՐԻ ԵՎ ՊԱՀԱՆՋՆԵՐԻ ՀՍԿՈՂՈՒԹՅԱՆ ՏԵՍՉՈՒԹՅԱՆ ԿՈՂՄԻՑ ԻՐԱԿԱՆԱՑՎՈՂ ՎԻՃԱԿԱԽԱՂԵՐԻ, ՇԱՀՈՒՄՈՎ ԽԱՂԵՐԻ ԵՎ ԽԱՂԱՏՆԵՐԻ ԼԻՑԵՆԶԱՎՈՐՄԱՆ ՊԱՅՄԱՆՆԵՐԻ ԵՎ ՊԱՀԱՆՋՆԵՐԻ ԿԱՏԱՐՄԱՆ ՍՏՈՒԳԱԹԵՐԹԵՐԸ ՀԱՍՏԱՏԵԼՈՒ ՄԱՍԻՆ</w:t>
      </w:r>
    </w:p>
    <w:p w:rsidR="00F730B8" w:rsidRPr="00F730B8" w:rsidRDefault="00F730B8" w:rsidP="00F730B8">
      <w:pPr>
        <w:spacing w:line="480" w:lineRule="auto"/>
        <w:rPr>
          <w:rFonts w:ascii="GHEA Mariam" w:hAnsi="GHEA Mariam" w:cs="IRTEK Courier"/>
          <w:sz w:val="22"/>
          <w:szCs w:val="22"/>
        </w:rPr>
      </w:pPr>
    </w:p>
    <w:p w:rsidR="00F730B8" w:rsidRPr="00F730B8" w:rsidRDefault="00F730B8" w:rsidP="00F730B8">
      <w:pPr>
        <w:spacing w:line="360" w:lineRule="auto"/>
        <w:ind w:firstLine="561"/>
        <w:jc w:val="both"/>
        <w:rPr>
          <w:rFonts w:ascii="GHEA Mariam" w:hAnsi="GHEA Mariam" w:cs="Sylfaen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 xml:space="preserve">&lt;&lt;Հայաստանի Հանրապետությունում ստուգումների կազմակերպման և անցկացման  մասին&gt;&gt; </w:t>
      </w:r>
      <w:r w:rsidRPr="00F730B8">
        <w:rPr>
          <w:rFonts w:ascii="GHEA Mariam" w:hAnsi="GHEA Mariam" w:cs="Sylfaen"/>
          <w:sz w:val="22"/>
          <w:szCs w:val="22"/>
        </w:rPr>
        <w:t>Հայա</w:t>
      </w:r>
      <w:r w:rsidRPr="00F730B8">
        <w:rPr>
          <w:rFonts w:ascii="GHEA Mariam" w:hAnsi="GHEA Mariam" w:cs="IRTEK Courier"/>
          <w:sz w:val="22"/>
          <w:szCs w:val="22"/>
        </w:rPr>
        <w:t>u</w:t>
      </w:r>
      <w:r w:rsidRPr="00F730B8">
        <w:rPr>
          <w:rFonts w:ascii="GHEA Mariam" w:hAnsi="GHEA Mariam" w:cs="Sylfaen"/>
          <w:sz w:val="22"/>
          <w:szCs w:val="22"/>
        </w:rPr>
        <w:t>տանի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Հանրապետության</w:t>
      </w:r>
      <w:r w:rsidRPr="00F730B8">
        <w:rPr>
          <w:rFonts w:ascii="GHEA Mariam" w:hAnsi="GHEA Mariam" w:cs="IRTEK Courier"/>
          <w:sz w:val="22"/>
          <w:szCs w:val="22"/>
        </w:rPr>
        <w:t xml:space="preserve"> o</w:t>
      </w:r>
      <w:r w:rsidRPr="00F730B8">
        <w:rPr>
          <w:rFonts w:ascii="GHEA Mariam" w:hAnsi="GHEA Mariam" w:cs="Sylfaen"/>
          <w:sz w:val="22"/>
          <w:szCs w:val="22"/>
        </w:rPr>
        <w:t>րենքի</w:t>
      </w:r>
      <w:r w:rsidRPr="00F730B8">
        <w:rPr>
          <w:rFonts w:ascii="GHEA Mariam" w:hAnsi="GHEA Mariam" w:cs="IRTEK Courier"/>
          <w:sz w:val="22"/>
          <w:szCs w:val="22"/>
        </w:rPr>
        <w:t xml:space="preserve"> 3-րդ </w:t>
      </w:r>
      <w:r w:rsidRPr="00F730B8">
        <w:rPr>
          <w:rFonts w:ascii="GHEA Mariam" w:hAnsi="GHEA Mariam" w:cs="Sylfaen"/>
          <w:sz w:val="22"/>
          <w:szCs w:val="22"/>
        </w:rPr>
        <w:t>հոդվածի 1.1-րդ մասի</w:t>
      </w:r>
      <w:r>
        <w:rPr>
          <w:rFonts w:ascii="GHEA Mariam" w:hAnsi="GHEA Mariam" w:cs="Sylfaen"/>
          <w:sz w:val="22"/>
          <w:szCs w:val="22"/>
        </w:rPr>
        <w:t>ն</w:t>
      </w:r>
      <w:r w:rsidRPr="00F730B8">
        <w:rPr>
          <w:rFonts w:ascii="GHEA Mariam" w:hAnsi="GHEA Mariam" w:cs="Sylfaen"/>
          <w:sz w:val="22"/>
          <w:szCs w:val="22"/>
        </w:rPr>
        <w:t xml:space="preserve"> համապատա</w:t>
      </w:r>
      <w:r w:rsidRPr="00F730B8">
        <w:rPr>
          <w:rFonts w:ascii="GHEA Mariam" w:hAnsi="GHEA Mariam" w:cs="IRTEK Courier"/>
          <w:sz w:val="22"/>
          <w:szCs w:val="22"/>
        </w:rPr>
        <w:t>u</w:t>
      </w:r>
      <w:r w:rsidRPr="00F730B8">
        <w:rPr>
          <w:rFonts w:ascii="GHEA Mariam" w:hAnsi="GHEA Mariam" w:cs="Sylfaen"/>
          <w:sz w:val="22"/>
          <w:szCs w:val="22"/>
        </w:rPr>
        <w:t>խան</w:t>
      </w:r>
      <w:r w:rsidRPr="00F730B8">
        <w:rPr>
          <w:rFonts w:ascii="GHEA Mariam" w:hAnsi="GHEA Mariam" w:cs="IRTEK Courier"/>
          <w:sz w:val="22"/>
          <w:szCs w:val="22"/>
        </w:rPr>
        <w:t xml:space="preserve">` </w:t>
      </w:r>
      <w:r w:rsidRPr="00F730B8">
        <w:rPr>
          <w:rFonts w:ascii="GHEA Mariam" w:hAnsi="GHEA Mariam" w:cs="Sylfaen"/>
          <w:sz w:val="22"/>
          <w:szCs w:val="22"/>
        </w:rPr>
        <w:t>Հայա</w:t>
      </w:r>
      <w:r w:rsidRPr="00F730B8">
        <w:rPr>
          <w:rFonts w:ascii="GHEA Mariam" w:hAnsi="GHEA Mariam" w:cs="IRTEK Courier"/>
          <w:sz w:val="22"/>
          <w:szCs w:val="22"/>
        </w:rPr>
        <w:t>u</w:t>
      </w:r>
      <w:r w:rsidRPr="00F730B8">
        <w:rPr>
          <w:rFonts w:ascii="GHEA Mariam" w:hAnsi="GHEA Mariam" w:cs="Sylfaen"/>
          <w:sz w:val="22"/>
          <w:szCs w:val="22"/>
        </w:rPr>
        <w:t>տանի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Հանրապետության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կառավարությունը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որոշում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է.</w:t>
      </w:r>
    </w:p>
    <w:p w:rsidR="00F730B8" w:rsidRPr="00F730B8" w:rsidRDefault="00F730B8" w:rsidP="00F730B8">
      <w:pPr>
        <w:numPr>
          <w:ilvl w:val="0"/>
          <w:numId w:val="11"/>
        </w:numPr>
        <w:tabs>
          <w:tab w:val="clear" w:pos="1281"/>
        </w:tabs>
        <w:overflowPunct/>
        <w:autoSpaceDE/>
        <w:autoSpaceDN/>
        <w:adjustRightInd/>
        <w:spacing w:line="360" w:lineRule="auto"/>
        <w:ind w:left="374"/>
        <w:jc w:val="both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>Հաuտատել`</w:t>
      </w:r>
    </w:p>
    <w:p w:rsidR="00F730B8" w:rsidRPr="00F730B8" w:rsidRDefault="00F730B8" w:rsidP="00F730B8">
      <w:pPr>
        <w:numPr>
          <w:ilvl w:val="0"/>
          <w:numId w:val="18"/>
        </w:numPr>
        <w:tabs>
          <w:tab w:val="clear" w:pos="1281"/>
        </w:tabs>
        <w:overflowPunct/>
        <w:autoSpaceDE/>
        <w:autoSpaceDN/>
        <w:adjustRightInd/>
        <w:spacing w:line="360" w:lineRule="auto"/>
        <w:ind w:left="686" w:hanging="364"/>
        <w:jc w:val="both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 xml:space="preserve">Հայաստանի Հանրապետության ֆինանսների նախարարության աշխատակազմի լիցենզավորման պայմանների և պահանջների հսկողության տեսչության կողմից իրականացվող վիճակախաղերի լիցենզավորման պայմանների և պահանջների կատարման ստուգաթերթը համաձայն N 1 </w:t>
      </w:r>
      <w:r>
        <w:rPr>
          <w:rFonts w:ascii="GHEA Mariam" w:hAnsi="GHEA Mariam" w:cs="IRTEK Courier"/>
          <w:sz w:val="22"/>
          <w:szCs w:val="22"/>
        </w:rPr>
        <w:t>հավելված</w:t>
      </w:r>
      <w:r w:rsidRPr="00F730B8">
        <w:rPr>
          <w:rFonts w:ascii="GHEA Mariam" w:hAnsi="GHEA Mariam" w:cs="IRTEK Courier"/>
          <w:sz w:val="22"/>
          <w:szCs w:val="22"/>
        </w:rPr>
        <w:t>ի,</w:t>
      </w:r>
    </w:p>
    <w:p w:rsidR="00F730B8" w:rsidRPr="00F730B8" w:rsidRDefault="00F730B8" w:rsidP="00F730B8">
      <w:pPr>
        <w:numPr>
          <w:ilvl w:val="0"/>
          <w:numId w:val="18"/>
        </w:numPr>
        <w:tabs>
          <w:tab w:val="clear" w:pos="1281"/>
        </w:tabs>
        <w:overflowPunct/>
        <w:autoSpaceDE/>
        <w:autoSpaceDN/>
        <w:adjustRightInd/>
        <w:spacing w:line="360" w:lineRule="auto"/>
        <w:ind w:left="686" w:hanging="364"/>
        <w:jc w:val="both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 xml:space="preserve">Հայաստանի Հանրապետության ֆինանսների նախարարության աշխատակազմի լիցենզավորման պայմանների և պահանջների հսկողության տեսչության կողմից իրականացվող շահումով խաղերի և խաղատների լիցենզավորման պայմանների և պահանջների կատարման ստուգաթերթը համաձայն N </w:t>
      </w:r>
      <w:r>
        <w:rPr>
          <w:rFonts w:ascii="GHEA Mariam" w:hAnsi="GHEA Mariam" w:cs="IRTEK Courier"/>
          <w:sz w:val="22"/>
          <w:szCs w:val="22"/>
        </w:rPr>
        <w:t>2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>
        <w:rPr>
          <w:rFonts w:ascii="GHEA Mariam" w:hAnsi="GHEA Mariam" w:cs="IRTEK Courier"/>
          <w:sz w:val="22"/>
          <w:szCs w:val="22"/>
        </w:rPr>
        <w:t>հավելված</w:t>
      </w:r>
      <w:r w:rsidRPr="00F730B8">
        <w:rPr>
          <w:rFonts w:ascii="GHEA Mariam" w:hAnsi="GHEA Mariam" w:cs="IRTEK Courier"/>
          <w:sz w:val="22"/>
          <w:szCs w:val="22"/>
        </w:rPr>
        <w:t>ի:</w:t>
      </w:r>
    </w:p>
    <w:p w:rsidR="00F730B8" w:rsidRPr="00F730B8" w:rsidRDefault="00F730B8" w:rsidP="00F730B8">
      <w:pPr>
        <w:numPr>
          <w:ilvl w:val="0"/>
          <w:numId w:val="11"/>
        </w:numPr>
        <w:tabs>
          <w:tab w:val="clear" w:pos="1281"/>
        </w:tabs>
        <w:overflowPunct/>
        <w:autoSpaceDE/>
        <w:autoSpaceDN/>
        <w:adjustRightInd/>
        <w:spacing w:line="360" w:lineRule="auto"/>
        <w:ind w:left="374"/>
        <w:jc w:val="both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>Uույն որոշումն ուժի մեջ է մտնում պաշտոնական հրապարակմանը հաջորդող օրվանից:</w:t>
      </w:r>
    </w:p>
    <w:p w:rsidR="00F730B8" w:rsidRPr="00F730B8" w:rsidRDefault="00F730B8" w:rsidP="00F730B8">
      <w:pPr>
        <w:rPr>
          <w:rFonts w:ascii="GHEA Mariam" w:hAnsi="GHEA Mariam"/>
          <w:sz w:val="22"/>
          <w:szCs w:val="22"/>
        </w:rPr>
      </w:pPr>
    </w:p>
    <w:p w:rsidR="00F730B8" w:rsidRPr="00F730B8" w:rsidRDefault="00F730B8" w:rsidP="00F730B8">
      <w:pPr>
        <w:jc w:val="right"/>
        <w:rPr>
          <w:rFonts w:ascii="GHEA Mariam" w:hAnsi="GHEA Mariam" w:cs="Sylfaen"/>
          <w:sz w:val="22"/>
          <w:szCs w:val="22"/>
        </w:rPr>
      </w:pPr>
      <w:r w:rsidRPr="00F730B8">
        <w:rPr>
          <w:rFonts w:ascii="GHEA Mariam" w:hAnsi="GHEA Mariam"/>
          <w:sz w:val="22"/>
          <w:szCs w:val="22"/>
        </w:rPr>
        <w:br w:type="page"/>
      </w:r>
      <w:r w:rsidRPr="00F730B8">
        <w:rPr>
          <w:rFonts w:ascii="GHEA Mariam" w:hAnsi="GHEA Mariam" w:cs="Sylfaen"/>
          <w:sz w:val="22"/>
          <w:szCs w:val="22"/>
        </w:rPr>
        <w:lastRenderedPageBreak/>
        <w:t>Հավելված 1</w:t>
      </w:r>
    </w:p>
    <w:p w:rsidR="00F730B8" w:rsidRPr="00F730B8" w:rsidRDefault="00F730B8" w:rsidP="00F730B8">
      <w:pPr>
        <w:jc w:val="right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կառավարության</w:t>
      </w:r>
    </w:p>
    <w:p w:rsidR="00F730B8" w:rsidRPr="00F730B8" w:rsidRDefault="00F730B8" w:rsidP="00F730B8">
      <w:pPr>
        <w:jc w:val="right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 xml:space="preserve">2011 </w:t>
      </w:r>
      <w:r w:rsidRPr="00F730B8">
        <w:rPr>
          <w:rFonts w:ascii="GHEA Mariam" w:hAnsi="GHEA Mariam" w:cs="Sylfaen"/>
          <w:sz w:val="22"/>
          <w:szCs w:val="22"/>
        </w:rPr>
        <w:t>թվականի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Sylfaen"/>
          <w:sz w:val="22"/>
          <w:szCs w:val="22"/>
        </w:rPr>
        <w:t>ի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</w:rPr>
        <w:t>-</w:t>
      </w:r>
      <w:r w:rsidRPr="00F730B8">
        <w:rPr>
          <w:rFonts w:ascii="GHEA Mariam" w:hAnsi="GHEA Mariam" w:cs="Sylfaen"/>
          <w:sz w:val="22"/>
          <w:szCs w:val="22"/>
        </w:rPr>
        <w:t>ի</w:t>
      </w:r>
    </w:p>
    <w:p w:rsidR="00F730B8" w:rsidRPr="00F730B8" w:rsidRDefault="00F730B8" w:rsidP="00F730B8">
      <w:pPr>
        <w:jc w:val="right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 xml:space="preserve">N </w:t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</w:rPr>
        <w:t>-</w:t>
      </w:r>
      <w:r w:rsidRPr="00F730B8">
        <w:rPr>
          <w:rFonts w:ascii="GHEA Mariam" w:hAnsi="GHEA Mariam" w:cs="Sylfaen"/>
          <w:sz w:val="22"/>
          <w:szCs w:val="22"/>
        </w:rPr>
        <w:t>Ն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որոշման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jc w:val="right"/>
        <w:rPr>
          <w:rStyle w:val="Strong"/>
          <w:rFonts w:ascii="GHEA Mariam" w:hAnsi="GHEA Mariam"/>
          <w:spacing w:val="100"/>
          <w:sz w:val="22"/>
          <w:szCs w:val="22"/>
          <w:lang w:val="en-US"/>
        </w:rPr>
      </w:pP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3202"/>
        <w:gridCol w:w="5053"/>
      </w:tblGrid>
      <w:tr w:rsidR="00F730B8" w:rsidRPr="00F730B8" w:rsidTr="00D74B7C">
        <w:trPr>
          <w:trHeight w:val="1616"/>
          <w:jc w:val="center"/>
        </w:trPr>
        <w:tc>
          <w:tcPr>
            <w:tcW w:w="218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730B8" w:rsidRPr="00F730B8" w:rsidRDefault="00F730B8" w:rsidP="00D74B7C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br w:type="page"/>
            </w:r>
            <w:r w:rsidRPr="00F730B8">
              <w:rPr>
                <w:rFonts w:ascii="GHEA Mariam" w:hAnsi="GHEA Mariam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914400" cy="876300"/>
                  <wp:effectExtent l="19050" t="0" r="0" b="0"/>
                  <wp:docPr id="1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0B8" w:rsidRPr="00F730B8" w:rsidRDefault="00F730B8" w:rsidP="00D74B7C">
            <w:pPr>
              <w:spacing w:line="360" w:lineRule="auto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ՀԱՅԱՍՏԱՆԻ ՀԱՆՐԱՊԵՏՈՒԹՅԱՆ</w:t>
            </w:r>
          </w:p>
          <w:p w:rsidR="00F730B8" w:rsidRPr="00F730B8" w:rsidRDefault="00F730B8" w:rsidP="00D74B7C">
            <w:pPr>
              <w:spacing w:line="360" w:lineRule="auto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ՖԻՆԱՆՍՆԵՐԻ ՆԱԽԱՐԱՐՈՒԹՅԱՆ ԱՇԽԱՏԱԿԱԶՄԻ</w:t>
            </w:r>
          </w:p>
          <w:p w:rsidR="00F730B8" w:rsidRPr="00F730B8" w:rsidRDefault="00F730B8" w:rsidP="00D74B7C">
            <w:pPr>
              <w:spacing w:line="360" w:lineRule="auto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ԼԻՑԵՆԶԱՎՈՐՄԱՆ ՊԱՅՄԱՆՆԵՐԻ ԵՎ ՊԱՀԱՆՋՆԵՐԻ ՀՍԿՈՂՈՒԹՅԱՆ ՏԵՍՉՈՒԹՅՈՒՆ</w:t>
            </w:r>
          </w:p>
        </w:tc>
      </w:tr>
      <w:tr w:rsidR="00F730B8" w:rsidRPr="00F730B8" w:rsidTr="00D74B7C">
        <w:trPr>
          <w:trHeight w:val="275"/>
          <w:jc w:val="center"/>
        </w:trPr>
        <w:tc>
          <w:tcPr>
            <w:tcW w:w="5387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:rsidR="00F730B8" w:rsidRPr="00F730B8" w:rsidRDefault="00F730B8" w:rsidP="00D74B7C">
            <w:pPr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0010, Երևան, Մելիք-Ադամյան փող. 1</w:t>
            </w:r>
          </w:p>
        </w:tc>
        <w:tc>
          <w:tcPr>
            <w:tcW w:w="505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:rsidR="00F730B8" w:rsidRPr="00F730B8" w:rsidRDefault="00F730B8" w:rsidP="00D74B7C">
            <w:pPr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Հեռ.  (+374 10)  59-51-03, Ֆաքս (+374 10)  52-42-82</w:t>
            </w:r>
          </w:p>
        </w:tc>
      </w:tr>
    </w:tbl>
    <w:p w:rsidR="00F730B8" w:rsidRPr="00F730B8" w:rsidRDefault="00F730B8" w:rsidP="00F730B8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Mariam" w:hAnsi="GHEA Mariam"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pacing w:val="100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firstLine="313"/>
        <w:jc w:val="center"/>
        <w:rPr>
          <w:rStyle w:val="Strong"/>
          <w:rFonts w:ascii="GHEA Mariam" w:hAnsi="GHEA Mariam"/>
          <w:spacing w:val="100"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pacing w:val="100"/>
          <w:sz w:val="22"/>
          <w:szCs w:val="22"/>
        </w:rPr>
        <w:t>ՍՏՈՒԳԱԹԵՐԹ</w:t>
      </w:r>
      <w:r w:rsidRPr="00F730B8">
        <w:rPr>
          <w:rStyle w:val="Strong"/>
          <w:rFonts w:ascii="GHEA Mariam" w:hAnsi="GHEA Mariam"/>
          <w:spacing w:val="100"/>
          <w:sz w:val="22"/>
          <w:szCs w:val="22"/>
          <w:lang w:val="en-US"/>
        </w:rPr>
        <w:t xml:space="preserve">  N</w:t>
      </w:r>
      <w:r w:rsidRPr="00F730B8">
        <w:rPr>
          <w:rStyle w:val="Strong"/>
          <w:rFonts w:ascii="GHEA Mariam" w:hAnsi="GHEA Mariam"/>
          <w:spacing w:val="100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pacing w:val="100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ՎԻՃԱԿԱԽԱՂԵՐԻ ԿԱԶՄԱԿԵՐՊՄԱՆ </w:t>
      </w:r>
      <w:r w:rsidRPr="00F730B8">
        <w:rPr>
          <w:rStyle w:val="Strong"/>
          <w:rFonts w:ascii="GHEA Mariam" w:hAnsi="GHEA Mariam"/>
          <w:sz w:val="22"/>
          <w:szCs w:val="22"/>
        </w:rPr>
        <w:t>ԼԻՑԵՆԶ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ԻԱՅԻ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ՊԱՅՄԱՆՆԵՐԻ ԵՎ ՊԱՀԱՆՋՆԵՐԻ ԿԱՏԱՐՄԱՆ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firstLine="720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Ստուգման սկ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ի</w:t>
      </w:r>
      <w:r w:rsidRPr="00F730B8">
        <w:rPr>
          <w:rStyle w:val="Strong"/>
          <w:rFonts w:ascii="GHEA Mariam" w:hAnsi="GHEA Mariam"/>
          <w:sz w:val="22"/>
          <w:szCs w:val="22"/>
        </w:rPr>
        <w:t>զբ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ը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>Ստուգման ավարտ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ը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</w:rPr>
        <w:t>20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 xml:space="preserve">    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թ.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>20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 xml:space="preserve">    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թ.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i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տարին,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ամիսը,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       ամսաթիվը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>տարին,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 ամիսը,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       ամսաթիվը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i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Ստուգման հիմքն է`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Ս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տուգման ենթակա հարցերի շրջանակը `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Տ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նտեսական գործունեության տեսակի դասակարգչի ծածկագիրը`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GHEA Mariam" w:hAnsi="GHEA Mariam"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Ստուգվող կազմակերպչի`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</w:rPr>
        <w:t xml:space="preserve">անվանումը`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գտնվելու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վայրը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`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t xml:space="preserve">լիցենզիայի տրման ամսաթիվը`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</w:rPr>
        <w:t>լիցենզ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ի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այի համարը`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</w:rPr>
        <w:t xml:space="preserve">այլ կոնտակտային տվյալներ` </w:t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GHEA Mariam" w:hAnsi="GHEA Mariam"/>
          <w:sz w:val="22"/>
          <w:szCs w:val="22"/>
          <w:u w:val="single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t xml:space="preserve">ՀՎՀՀ-ի ծածկագիրը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</w:rPr>
        <w:t>GGGGGGGG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Ստուգումն իրականացնող պաշտոնատար անձինք`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WP TypographicSymbols" w:hAnsi="WP TypographicSymbols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</w:rPr>
        <w:lastRenderedPageBreak/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b w:val="0"/>
          <w:sz w:val="22"/>
          <w:szCs w:val="22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</w:rPr>
        <w:t>GGGGGG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40" w:firstLine="720"/>
        <w:rPr>
          <w:rStyle w:val="Strong"/>
          <w:rFonts w:ascii="GHEA Mariam" w:hAnsi="GHEA Mariam"/>
          <w:i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պաշտոն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/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ծառայողական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վկայականի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համարը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b w:val="0"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ազգանուն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հայրանուն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ստորագրություն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WP TypographicSymbols" w:hAnsi="WP TypographicSymbols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b w:val="0"/>
          <w:sz w:val="22"/>
          <w:szCs w:val="22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</w:rPr>
        <w:t>GGGGGG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40" w:firstLine="720"/>
        <w:rPr>
          <w:rStyle w:val="Strong"/>
          <w:rFonts w:ascii="GHEA Mariam" w:hAnsi="GHEA Mariam"/>
          <w:i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պաշտոն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/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ծառայողական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վկայականի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համարը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b w:val="0"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ազգանուն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հայրանուն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ստորագրություն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WP TypographicSymbols" w:hAnsi="WP TypographicSymbols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b w:val="0"/>
          <w:sz w:val="22"/>
          <w:szCs w:val="22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</w:rPr>
        <w:t>GGGGGG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40" w:firstLine="720"/>
        <w:rPr>
          <w:rStyle w:val="Strong"/>
          <w:rFonts w:ascii="GHEA Mariam" w:hAnsi="GHEA Mariam"/>
          <w:i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պաշտոն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/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ծառայողական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վկայականի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համարը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b w:val="0"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ազգանուն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հայրանուն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ստորագրություն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t xml:space="preserve">Ստուգվող կազմակերպչի ղեկավար 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կ</w:t>
      </w:r>
      <w:r w:rsidRPr="00F730B8">
        <w:rPr>
          <w:rStyle w:val="Strong"/>
          <w:rFonts w:ascii="GHEA Mariam" w:hAnsi="GHEA Mariam"/>
          <w:sz w:val="22"/>
          <w:szCs w:val="22"/>
        </w:rPr>
        <w:t>ամ լիազորված անձ`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rPr>
          <w:rStyle w:val="Strong"/>
          <w:rFonts w:ascii="GHEA Mariam" w:hAnsi="GHEA Mariam"/>
          <w:i/>
          <w:sz w:val="22"/>
          <w:szCs w:val="22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ազգանուն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 xml:space="preserve">, 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հայրանուն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ab/>
        <w:t xml:space="preserve">       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ստորագրություն</w:t>
      </w:r>
      <w:r w:rsidRPr="00F730B8">
        <w:rPr>
          <w:rStyle w:val="Strong"/>
          <w:rFonts w:ascii="GHEA Mariam" w:hAnsi="GHEA Mariam"/>
          <w:i/>
          <w:sz w:val="22"/>
          <w:szCs w:val="22"/>
        </w:rPr>
        <w:t>/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Fonts w:ascii="GHEA Mariam" w:hAnsi="GHEA Mariam" w:cs="IRTEK Courier"/>
          <w:b/>
          <w:sz w:val="22"/>
          <w:szCs w:val="22"/>
        </w:rPr>
        <w:sectPr w:rsidR="00F730B8" w:rsidRPr="00F730B8" w:rsidSect="00DE043A">
          <w:pgSz w:w="11906" w:h="16838" w:code="9"/>
          <w:pgMar w:top="567" w:right="851" w:bottom="567" w:left="851" w:header="0" w:footer="0" w:gutter="0"/>
          <w:cols w:space="720"/>
          <w:docGrid w:linePitch="360"/>
        </w:sect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jc w:val="center"/>
        <w:rPr>
          <w:rFonts w:ascii="GHEA Mariam" w:hAnsi="GHEA Mariam" w:cs="IRTEK Courier"/>
          <w:b/>
          <w:spacing w:val="100"/>
          <w:sz w:val="22"/>
          <w:szCs w:val="22"/>
        </w:rPr>
      </w:pPr>
      <w:r w:rsidRPr="00F730B8">
        <w:rPr>
          <w:rFonts w:ascii="GHEA Mariam" w:hAnsi="GHEA Mariam" w:cs="IRTEK Courier"/>
          <w:b/>
          <w:spacing w:val="100"/>
          <w:sz w:val="22"/>
          <w:szCs w:val="22"/>
          <w:lang w:val="en-US"/>
        </w:rPr>
        <w:lastRenderedPageBreak/>
        <w:t>ՀԱՐՑԱՇԱՐ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ՎԻՃԱԿԱԽԱՂԵՐԻ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ԿԱԶՄԱԿԵՐՊՄԱՆ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 ԼԻՑԵՆԶ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ԻԱՅԻ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t xml:space="preserve">ՊԱՅՄԱՆՆԵՐԻ ԵՎ ՊԱՀԱՆՋՆԵՐԻ ԿԱՏԱՐՄԱՆ 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ՍՏՈՒԳՄԱՆ</w:t>
      </w:r>
      <w:r w:rsidRPr="00F730B8">
        <w:rPr>
          <w:rStyle w:val="Strong"/>
          <w:rFonts w:ascii="GHEA Mariam" w:hAnsi="GHEA Mariam"/>
          <w:sz w:val="22"/>
          <w:szCs w:val="22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ՎԵՐԱԲԵՐՅԱԼ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</w:rPr>
      </w:pPr>
    </w:p>
    <w:tbl>
      <w:tblPr>
        <w:tblStyle w:val="Title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"/>
        <w:gridCol w:w="6552"/>
        <w:gridCol w:w="527"/>
        <w:gridCol w:w="537"/>
        <w:gridCol w:w="676"/>
        <w:gridCol w:w="3182"/>
        <w:gridCol w:w="11"/>
        <w:gridCol w:w="4063"/>
        <w:tblGridChange w:id="0">
          <w:tblGrid>
            <w:gridCol w:w="372"/>
            <w:gridCol w:w="6552"/>
            <w:gridCol w:w="527"/>
            <w:gridCol w:w="537"/>
            <w:gridCol w:w="676"/>
            <w:gridCol w:w="3182"/>
            <w:gridCol w:w="11"/>
            <w:gridCol w:w="4063"/>
          </w:tblGrid>
        </w:tblGridChange>
      </w:tblGrid>
      <w:tr w:rsidR="00F730B8" w:rsidRPr="00F730B8" w:rsidTr="00D74B7C">
        <w:tc>
          <w:tcPr>
            <w:tcW w:w="374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84" w:right="-8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N</w:t>
            </w:r>
          </w:p>
        </w:tc>
        <w:tc>
          <w:tcPr>
            <w:tcW w:w="6600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ՀԱՐՑԸ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7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ԱՅՈ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ՈՉ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9" w:right="-10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ԿՇԻՌ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ՄԵԿՆԱԲԱՆՈՒԹՅՈՒՆՆԵՐ</w:t>
            </w:r>
          </w:p>
        </w:tc>
        <w:tc>
          <w:tcPr>
            <w:tcW w:w="4098" w:type="dxa"/>
            <w:gridSpan w:val="2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ՀԱՐՑԻ ՀԱՄԱՐ ՀԻՄՔ ՀԱՆԴԻՍԱՑՈՂ ԻՐԱՎԱԿԱՆ ՆՈՐՄԸ</w:t>
            </w:r>
          </w:p>
        </w:tc>
      </w:tr>
      <w:tr w:rsidR="00F730B8" w:rsidRPr="00F730B8" w:rsidTr="00D74B7C"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բացառությամբ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տոտալիզատորի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դեպքերի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ապահով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մասնակցող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ընդհանուր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արժեքի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առնվազն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կեսի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չափով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ֆոնդ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ի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առանց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դրանում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ներառվող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արժեքի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ձևավորումն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մասնակիցների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միջև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բաշխումը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&lt;&lt;ա&gt;&gt;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ն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ախքան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գովազդ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ներ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հրապարակումը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բովանդակությունը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համաձայնե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ցրել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լիազոր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մարմնի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&lt;&lt;բ&gt;&gt; կետ</w:t>
            </w:r>
          </w:p>
        </w:tc>
      </w:tr>
      <w:tr w:rsidR="00F730B8" w:rsidRPr="00F730B8" w:rsidTr="00D74B7C"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Կազմակերպիչը` իրային շահումների խաղարկման դեպքում վիճակախաղի շահող մասնակցին տեղեկացրել է այդ իրային շահմանը համարժեք դրամական չափի մասին և շահողի ցանկությամբ տրամադրել դրամական շահումը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&lt;&lt;գ&gt;&gt; կետ</w:t>
            </w:r>
          </w:p>
        </w:tc>
      </w:tr>
      <w:tr w:rsidR="00F730B8" w:rsidRPr="00F730B8" w:rsidTr="00D74B7C"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Կազմակերպիչը`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խաղարկությունով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համակցված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անցկացման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կանոնակարգով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սահմանված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ժամկետներում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չպահանջված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չստացված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չափով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ավելաց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րել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այդ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ժամկետի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ավարտին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հաջորդող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հերթական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lastRenderedPageBreak/>
              <w:t>շահումային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ֆոնդը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&lt;&lt;դ&gt;&gt; կետ</w:t>
            </w:r>
          </w:p>
        </w:tc>
      </w:tr>
      <w:tr w:rsidR="00F730B8" w:rsidRPr="00F730B8" w:rsidTr="00D74B7C"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Կազմակերպիչը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փաստը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արժեքը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հրապարակ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միայն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համաձայնությամբ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&lt;&lt;ե&gt;&gt; կետ</w:t>
            </w:r>
          </w:p>
        </w:tc>
      </w:tr>
      <w:tr w:rsidR="00F730B8" w:rsidRPr="00F730B8" w:rsidTr="00D74B7C"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Կազմակերպիչը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առաջին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իսկ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պահանջով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տրամադ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րել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&lt;&lt;զ&gt;&gt;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Կազմակերպիչը`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իրացման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պատրաստման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ներմուծման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գործունեություն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ներ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բացի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չի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զբաղվել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այլ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գործունեությամբ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&lt;&lt;ը&gt;&gt;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վ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իճակախաղ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կողմից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սահմանած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լիազոր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մարմնի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համաձայնեցված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կանոնակարգին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համապատասխան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1-ին մասի &lt;&lt;ժ&gt;&gt;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Կազմակերպչի կողմից կազմակերպած վ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իճակախաղ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չեն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մասնակցել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մինչև 18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տարեկան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անձինք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5-րդ մաս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Ո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խաղարկությունով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կազմակերպիչը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իրացման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գործընթացն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սկսվելուց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հետո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յուրաքանչյուր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ամիսը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անգամ՝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մինչև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հաջորդ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ամսվա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5-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թերթում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հրապարակ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արդյունքները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նշելով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անվանումը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ըստ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սերիաների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ներ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lastRenderedPageBreak/>
              <w:t>չափ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6-րդ մաս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Խ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աղարկությունով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համակցված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կազմակերպիչը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յուրաքանչյուր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անցկացումից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հետո՝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հնգօրյա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ժամկետում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թերթում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հրապարակ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արդյունքները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նշելով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անվանումը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ըստ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փուլերի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սերիաների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ներ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չափ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եր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5-րդ հոդվածի 7-րդ մաս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Արդյոք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խաղարկությունով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համակցված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դեպքում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կազմակերպչի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կողմից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ստեղծված՝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չիրացված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հաշվառման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հանձնաժողովի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(այսուհետ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Հ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անձնաժողով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մասնակցությամբ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չիրացված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հաշվառվել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պահպանմանվում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հերթական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խաղարկությունից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առաջ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ապահով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ելով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իրացված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վերաբերյալ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օրենքով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սահմանված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հաշվետվությունների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ժամկետը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Fonts w:ascii="GHEA Mariam" w:hAnsi="GHEA Mariam"/>
                <w:b/>
                <w:bCs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6-րդ հոդվածի 1-ին մասի &lt;&lt;ա&gt;&gt;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ո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խաղարկությունով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դեպքում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Հ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անձնաժողովի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մասնակցությամբ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չիրացված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հաշվառ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վել,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վել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վել են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գործունեությունն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ավարտելու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առնվազն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3000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տպաքանակ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ունեցող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թերթում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հայտարարության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lastRenderedPageBreak/>
              <w:t>հրապարակումից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հետո՝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շաբաթվա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ընթացքում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6-րդ հոդվածի 1-ին մասի &lt;&lt;բ&gt;&gt;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Հ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անձնաժողովի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անդամներ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ի կողմից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վել են չիրացված տոմսերը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դակելով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կտրելով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դրանց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անկյունը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այնպես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վնասվ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սերիան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մասնակցող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դաշտերը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6-րդ հոդվածի 3-րդ մաս</w:t>
            </w:r>
          </w:p>
        </w:tc>
      </w:tr>
      <w:tr w:rsidR="00F730B8" w:rsidRPr="00F730B8" w:rsidTr="00D74B7C">
        <w:trPr>
          <w:trHeight w:val="140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Հանձնաժողովը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վ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ենթակա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վերաբերյալ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տեղեկանք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`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առնվազն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երկու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օրինակից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որտեղ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նշվ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ած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անվանումը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խաղարկության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ենթակա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տոմսերը՝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ըստ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սերիաների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դրանց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ընդհանուր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քանակ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ի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6-րդ հոդվածի 4-րդ մաս</w:t>
            </w:r>
          </w:p>
        </w:tc>
      </w:tr>
      <w:tr w:rsidR="00F730B8" w:rsidRPr="00F730B8" w:rsidTr="00D74B7C">
        <w:trPr>
          <w:trHeight w:val="63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րդյոք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վ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ենթակա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վերաբերյալ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տեղեկանքը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ստորագրվել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հանձնաժողովի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առնվազն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չորս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անդամների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կողմից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6-րդ հոդվածի 5-րդ մաս</w:t>
            </w:r>
          </w:p>
        </w:tc>
      </w:tr>
      <w:tr w:rsidR="00F730B8" w:rsidRPr="00F730B8" w:rsidTr="00D74B7C">
        <w:trPr>
          <w:trHeight w:val="85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վ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ենթակա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վերաբերյալ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տեղեկանքը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կազմելուց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հետո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տեղադրվ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են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հատուկ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պարկերում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ծանրոցներում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կնքվ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ել Կ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ազմակերպչի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կնիքով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վերջինիս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ցանկությամբ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Fonts w:ascii="GHEA Mariam" w:hAnsi="GHEA Mariam"/>
                <w:b/>
                <w:bCs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6-րդ հոդվածի 6-րդ մաս</w:t>
            </w:r>
          </w:p>
        </w:tc>
      </w:tr>
      <w:tr w:rsidR="00F730B8" w:rsidRPr="00F730B8" w:rsidTr="00D74B7C">
        <w:trPr>
          <w:trHeight w:val="85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վ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իճակախաղի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տոմսերը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տեղեկանքի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առնվազն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տարի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6-րդ հոդվածի 9-րդ մաս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Տոտալիզատորի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ինտերնետ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տոտալիզատորի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lastRenderedPageBreak/>
              <w:t>կազմակերպիչները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ամսվա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ընթացքում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տոտալիզատորի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խաղադրույքների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ընդունման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անմիջականորեն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ինտերնետ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տոտալիզատորի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նախատեսված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համակարգիչների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քանակի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ինտերնետ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տոտալիզատորի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նախատեսված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ինտերնետային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կայքերի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գրանցված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հասցեների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ավելացման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դեպքում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այդ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ավելացումից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առնվազն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հինգ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աշխատանքային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օր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առաջ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լիազոր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րել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լրացուցիչ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հաշվետվություն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տեղեկատվություն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 xml:space="preserve">&lt;&lt;Վիճակախաղերի մասին&gt;&gt; ՀՀ 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lastRenderedPageBreak/>
              <w:t>օրենքի 7-րդ հոդվածի 3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vertAlign w:val="superscript"/>
                <w:lang w:val="en-US"/>
              </w:rPr>
              <w:t>2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-րդ մաս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բացակայել են  Կազմակերպչի կողմից լ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իազոր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տեղեկություններում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հաշվետվություններում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կեղծ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տվյալներ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11-րդ հոդվածի 1-ին մասի &lt;&lt;գ&gt;&gt;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Կազմակերչպիչը լ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իցենզիա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ստանալու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հայտը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ներկայացնելիս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դրանից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հետո՝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մինչև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լիցենզիան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ստանալու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չի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խեղաթյուրել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պահանջվող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տեղեկությունները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չի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ներկայացրել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ոչ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լիարժեք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տեղեկություններ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, որո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ճիշտ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լիարժեք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ներկայացումը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կհանգեցներ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լիցենզիա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ստանալու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հայտի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մերժման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&lt;&lt;Վիճակախաղերի մասին&gt;&gt; ՀՀ օրենքի 11-րդ հոդվածի 1-ին մասի &lt;&lt;դ&gt;&gt;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լիցենզիայի վերաձևակերպման համար հիմք հանդիսացող փոփոխություն կատարելիս սահմանված ժամկետում տեղեկացրել է լիազոր մարմնին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2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&lt;&lt;Լիցենզավորման մասին&gt;&gt; ՀՀ օրենքի 32-րդ հոդվածի 1-ին մաս</w:t>
            </w:r>
          </w:p>
        </w:tc>
      </w:tr>
      <w:tr w:rsidR="00F730B8" w:rsidRPr="00F730B8" w:rsidTr="00D74B7C"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չի կատարել 50 միլիոն դրամը գերազանցող անշարժ գույքի հետ կապված գործարքներ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 xml:space="preserve">&lt;&lt;Փողերի լվացման և ահաբեկչության ֆինասավորման 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lastRenderedPageBreak/>
              <w:t>դեմ պայքարի մասին&gt;&gt; ՀՀ օրենքի 5-րդ հոդվածի 1-ին մասի 2-րդ կետ</w:t>
            </w:r>
          </w:p>
        </w:tc>
      </w:tr>
      <w:tr w:rsidR="00F730B8" w:rsidRPr="00F730B8" w:rsidTr="00D74B7C"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Կազմակերպիչն իրականացրել է 20 միլիոն ՀՀ դրամը գերազանցող գործարք (հաճախորդին տրամադրել է 20 միլիոն ՀՀ դրամը գերազանցող շահում կամ 1 միլիոն ՀՀ դրամը գերազանցող շահումին 24 ժամվա ընթացքում հաջորդած շահումների հանրագումարը գերազանցել է 20 միլիոն ՀՀ դրամը), որի գծով  ներկայացվել է պարտադիր տեղեկացման ենթակա գործարքի մասին հաշվետվություն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5-րդ հոդվածի 1-ին մաս:</w:t>
            </w:r>
          </w:p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ՀՀ կենտրոնական բանկի խորհրդի 2008թ. հուլիսի 31-ի 234-Ն որոշման հավելված 1-ի հավելվածի 1-ին կետ:</w:t>
            </w:r>
          </w:p>
        </w:tc>
      </w:tr>
      <w:tr w:rsidR="00F730B8" w:rsidRPr="00F730B8" w:rsidTr="00D74B7C">
        <w:trPr>
          <w:trHeight w:val="63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պարտադիր տեղեկացման ենթակա հաշվետվությունները ներկայացրել է լիազոր մարմնի սահմանված ձևով, կարգով և ժամկետում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7-րդ հոդված: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Կազմակերպիչն 1 միլիոն ՀՀ դրամը գերազանցող գործարք իրականացնելու դեպքում իրականացրել է հաճախորդի, նրա անունից հանդես եկող լիազորված անձի կամ իրական շահառուի պատշաճ ուսումնասիրույթուն (օրինակ՝ պահանջվել է անձնագիր)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15-րդ հոդված: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Կազմակերպիչն իր կողմից սահմանված պարբերականությամբ թարմացրել է որևէ հաճախորդի հետ գործարար հարաբերության հաստատման արդյունքում ստացված նույնականացման տվյալները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Փողերի լվացման և ահաբեկչության ֆինանսավորման դեմ պայքարի մասին» ՀՀ օրենքի 16-րդ հոդվածի 2-րդ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Կազմակերպիչը անբավարար ՓԼ/ԱՖ համակարգ ունեցող երկրի քաղաքացու հետ 1 միլիոն ՀՀ դրամը գերազանցող գործարք իրականացրելիս իրականացրել է 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lastRenderedPageBreak/>
              <w:t>հավելյալ ուսումնասիրություն (օրինակ՝ գործարքների համադրում, իրական նպատակի պարզում, ամբողջական պատկերի ստացում և այլն)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Փողերի լվացման և ահաբեկչության ֆինանսավորման դեմ պայքարի մասին» ՀՀ օրենքի 19-րդ հոդվածի 1-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lastRenderedPageBreak/>
              <w:t>րդ մաս:</w:t>
            </w:r>
          </w:p>
        </w:tc>
      </w:tr>
      <w:tr w:rsidR="00F730B8" w:rsidRPr="00F730B8" w:rsidTr="00D74B7C">
        <w:trPr>
          <w:trHeight w:val="85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հաճախորդի հետ գործարար հարաբերության ավարտից հետո Կազմակերպիչն առնվազն 5 տարի ժամկետով պահպանում է հաճախորդի նույնականացման և նրա հետ իրականացրած 1 մլն դրամը գերազանցող գործարքների տվյալները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պայքարիմասին» ՀՀ օրենքի 20-րդ հոդվածի 1-ին կետ:</w:t>
            </w:r>
          </w:p>
        </w:tc>
      </w:tr>
      <w:tr w:rsidR="00F730B8" w:rsidRPr="00F730B8" w:rsidTr="00D74B7C">
        <w:trPr>
          <w:trHeight w:val="140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10-ից ավելի աշխատակից ունեցող Կազմակերպիչնունի ՓԼ/ԱՖ կանխարգելման գործառույթը կարգավորող ներքին իրավական ակտ, որն առնվազն ներառում է պատշաճ և հավելյալ ուսումնասիրության կանոնները, տեղեկատվության պահպանման կարգը, ներքին աուդիտի և ներքին դիտարկումների մարմնի աշխատանքները, աշխատակիցների ընդունման և վերապատրաստման պայմանները, կասկածելի գործարքների ներքին չափանիշերը, կասկածելի գործարքի կասեցման և ահաբեկչության հետ կապված անձանց ֆինանսական միջոցների սառեցման ընթացակարգերը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21-րդ հոդվածի 1-ին կետ և 3-րդ հոդվածի 1-ին մասի 6-րդ կետ: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Կազմակերպչի որևէ ներքին իրավական ակտի (օրինակ՝ ներքին կարգ, հրաման, հրահանգ և այլն) հիման վրա փողերի լվացման և ահաբեկչության ֆինանսավորման կանխարգելման ներքին գործառույթը վերապահվել է Կազմակերպչի որևէ աշխատակցին, ստորաբաժանմանը 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lastRenderedPageBreak/>
              <w:t>կամ համապատասխան մասնագիտացված գործունեություն իրականացնող այլ անձին կամ կազմակերպությանը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22-րդ հոդվածի 1-ին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Կազմակերպչի ներքին դիտարկումների մարմինն առնվազն կիսամյակը մեկ անգամ ուսումնասիրում է Կազմակերպչի, վերջինիս ստորաբաժանումների և  աշխատակիցների գործունեությունը՝ օրենսդրական, ենթաօրենսդրական և ներքին իրավական ակտերի պահանջներին համապատասխանության տեսանկյունից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22-րդ հոդվածի 4-րդ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ներքին դիտարկումների մարմնի կողմից իրականացված ուսումնասիրություններն ամփոփվում են հաշվետվությունների տեսքով և տրամադրվում Կազմակերպչի կառավարման բարձրագույն մարմնին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22-րդ հոդվածի 4-րդ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Կազմակերպչի որևէ ներքին իրավական ակտի հիման վրա ներքին դիտարկումների մարմնինը ստացել է ավագ ղեկավարության կարգավիճակ և անհրաժեշտ անկախություն, և առկա չեն նշված որակները կաշկանդող խոչընդոտներ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22-րդ հոդվածի 5-րդ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1 միլիոն ՀՀ դրամը գերազանցող գործարք իրականացնելիս` նույնականացրել է հաճախորդին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24-րդ հոդվածի 5-րդ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ահաբեկչության ֆինանսավորման կասկածի առկայության պարագայում Կազմակերպիչը մերժել է գործարքի իրականացումը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24-րդ հոդվածի 7-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lastRenderedPageBreak/>
              <w:t>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74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187" w:right="-80" w:hanging="271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սառեցման մասին որոշում կայացնելու դեպքում դրա մասին լիազոր մարմնին անմիջապես ներկայացրել է կասկածելի գործարքի (գործարար հարաբերության) մասին հաշվետվություն</w:t>
            </w:r>
          </w:p>
        </w:tc>
        <w:tc>
          <w:tcPr>
            <w:tcW w:w="52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23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193" w:type="dxa"/>
            <w:gridSpan w:val="2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8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25-րդ հոդվածի 3-րդ մաս:</w:t>
            </w:r>
          </w:p>
        </w:tc>
      </w:tr>
    </w:tbl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  <w:lang w:val="en-US"/>
        </w:rPr>
        <w:sectPr w:rsidR="00F730B8" w:rsidRPr="00F730B8" w:rsidSect="00DE043A">
          <w:pgSz w:w="16838" w:h="11906" w:orient="landscape" w:code="9"/>
          <w:pgMar w:top="851" w:right="567" w:bottom="284" w:left="567" w:header="0" w:footer="0" w:gutter="0"/>
          <w:cols w:space="720"/>
          <w:docGrid w:linePitch="360"/>
        </w:sectPr>
      </w:pPr>
    </w:p>
    <w:p w:rsidR="00F730B8" w:rsidRPr="00F730B8" w:rsidRDefault="00F730B8" w:rsidP="00F730B8">
      <w:pPr>
        <w:jc w:val="right"/>
        <w:rPr>
          <w:rFonts w:ascii="GHEA Mariam" w:hAnsi="GHEA Mariam" w:cs="Sylfaen"/>
          <w:sz w:val="22"/>
          <w:szCs w:val="22"/>
        </w:rPr>
      </w:pPr>
      <w:r w:rsidRPr="00F730B8">
        <w:rPr>
          <w:rFonts w:ascii="GHEA Mariam" w:hAnsi="GHEA Mariam" w:cs="Sylfaen"/>
          <w:sz w:val="22"/>
          <w:szCs w:val="22"/>
        </w:rPr>
        <w:lastRenderedPageBreak/>
        <w:t>Հավելված 2</w:t>
      </w:r>
    </w:p>
    <w:p w:rsidR="00F730B8" w:rsidRPr="00F730B8" w:rsidRDefault="00F730B8" w:rsidP="00F730B8">
      <w:pPr>
        <w:jc w:val="right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Sylfaen"/>
          <w:sz w:val="22"/>
          <w:szCs w:val="22"/>
        </w:rPr>
        <w:t>Հայաստանի Հանրապետության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կառավարության</w:t>
      </w:r>
    </w:p>
    <w:p w:rsidR="00F730B8" w:rsidRPr="00F730B8" w:rsidRDefault="00F730B8" w:rsidP="00F730B8">
      <w:pPr>
        <w:jc w:val="right"/>
        <w:rPr>
          <w:rFonts w:ascii="GHEA Mariam" w:hAnsi="GHEA Mariam" w:cs="IRTEK Courier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 xml:space="preserve">2011 </w:t>
      </w:r>
      <w:r w:rsidRPr="00F730B8">
        <w:rPr>
          <w:rFonts w:ascii="GHEA Mariam" w:hAnsi="GHEA Mariam" w:cs="Sylfaen"/>
          <w:sz w:val="22"/>
          <w:szCs w:val="22"/>
        </w:rPr>
        <w:t>թվականի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Sylfaen"/>
          <w:sz w:val="22"/>
          <w:szCs w:val="22"/>
        </w:rPr>
        <w:t>ի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</w:rPr>
        <w:t>-</w:t>
      </w:r>
      <w:r w:rsidRPr="00F730B8">
        <w:rPr>
          <w:rFonts w:ascii="GHEA Mariam" w:hAnsi="GHEA Mariam" w:cs="Sylfaen"/>
          <w:sz w:val="22"/>
          <w:szCs w:val="22"/>
        </w:rPr>
        <w:t>ի</w:t>
      </w:r>
    </w:p>
    <w:p w:rsidR="00F730B8" w:rsidRPr="00F730B8" w:rsidRDefault="00F730B8" w:rsidP="00F730B8">
      <w:pPr>
        <w:jc w:val="right"/>
        <w:rPr>
          <w:rFonts w:ascii="GHEA Mariam" w:hAnsi="GHEA Mariam" w:cs="Sylfaen"/>
          <w:sz w:val="22"/>
          <w:szCs w:val="22"/>
        </w:rPr>
      </w:pPr>
      <w:r w:rsidRPr="00F730B8">
        <w:rPr>
          <w:rFonts w:ascii="GHEA Mariam" w:hAnsi="GHEA Mariam" w:cs="IRTEK Courier"/>
          <w:sz w:val="22"/>
          <w:szCs w:val="22"/>
        </w:rPr>
        <w:t xml:space="preserve">N </w:t>
      </w:r>
      <w:r w:rsidRPr="00F730B8">
        <w:rPr>
          <w:rFonts w:ascii="GHEA Mariam" w:hAnsi="GHEA Mariam" w:cs="IRTEK Courier"/>
          <w:sz w:val="22"/>
          <w:szCs w:val="22"/>
          <w:u w:val="single"/>
        </w:rPr>
        <w:tab/>
      </w:r>
      <w:r w:rsidRPr="00F730B8">
        <w:rPr>
          <w:rFonts w:ascii="GHEA Mariam" w:hAnsi="GHEA Mariam" w:cs="IRTEK Courier"/>
          <w:sz w:val="22"/>
          <w:szCs w:val="22"/>
        </w:rPr>
        <w:t>-</w:t>
      </w:r>
      <w:r w:rsidRPr="00F730B8">
        <w:rPr>
          <w:rFonts w:ascii="GHEA Mariam" w:hAnsi="GHEA Mariam" w:cs="Sylfaen"/>
          <w:sz w:val="22"/>
          <w:szCs w:val="22"/>
        </w:rPr>
        <w:t>Ն</w:t>
      </w:r>
      <w:r w:rsidRPr="00F730B8">
        <w:rPr>
          <w:rFonts w:ascii="GHEA Mariam" w:hAnsi="GHEA Mariam" w:cs="IRTEK Courier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որոշման</w:t>
      </w:r>
    </w:p>
    <w:p w:rsidR="00F730B8" w:rsidRPr="00F730B8" w:rsidRDefault="00F730B8" w:rsidP="00F730B8">
      <w:pPr>
        <w:jc w:val="right"/>
        <w:rPr>
          <w:rFonts w:ascii="GHEA Mariam" w:hAnsi="GHEA Mariam" w:cs="IRTEK Courier"/>
          <w:sz w:val="22"/>
          <w:szCs w:val="22"/>
        </w:rPr>
      </w:pP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3202"/>
        <w:gridCol w:w="5053"/>
      </w:tblGrid>
      <w:tr w:rsidR="00F730B8" w:rsidRPr="00F730B8" w:rsidTr="00D74B7C">
        <w:trPr>
          <w:trHeight w:val="1616"/>
          <w:jc w:val="center"/>
        </w:trPr>
        <w:tc>
          <w:tcPr>
            <w:tcW w:w="218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730B8" w:rsidRPr="00F730B8" w:rsidRDefault="00F730B8" w:rsidP="00D74B7C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br w:type="page"/>
            </w:r>
            <w:r w:rsidRPr="00F730B8">
              <w:rPr>
                <w:rFonts w:ascii="GHEA Mariam" w:hAnsi="GHEA Mariam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914400" cy="876300"/>
                  <wp:effectExtent l="19050" t="0" r="0" b="0"/>
                  <wp:docPr id="2" name="Picture 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0B8" w:rsidRPr="00F730B8" w:rsidRDefault="00F730B8" w:rsidP="00D74B7C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ՀԱՅԱՍՏԱՆԻ ՀԱՆՐԱՊԵՏՈՒԹՅԱՆ</w:t>
            </w:r>
          </w:p>
          <w:p w:rsidR="00F730B8" w:rsidRPr="00F730B8" w:rsidRDefault="00F730B8" w:rsidP="00D74B7C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ՖԻՆԱՆՍՆԵՐԻ ՆԱԽԱՐԱՐՈՒԹՅԱՆ ԱՇԽԱՏԱԿԱԶՄԻ</w:t>
            </w:r>
          </w:p>
          <w:p w:rsidR="00F730B8" w:rsidRPr="00F730B8" w:rsidRDefault="00F730B8" w:rsidP="00D74B7C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ԼԻՑԵՆԶԱՎՈՐՄԱՆ ՊԱՅՄԱՆՆԵՐԻ ԵՎ ՊԱՀԱՆՋՆԵՐԻ ՀՍԿՈՂՈՒԹՅԱՆ ՏԵՍՉՈՒԹՅՈՒՆ</w:t>
            </w:r>
          </w:p>
        </w:tc>
      </w:tr>
      <w:tr w:rsidR="00F730B8" w:rsidRPr="00F730B8" w:rsidTr="00D74B7C">
        <w:trPr>
          <w:trHeight w:val="275"/>
          <w:jc w:val="center"/>
        </w:trPr>
        <w:tc>
          <w:tcPr>
            <w:tcW w:w="5387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:rsidR="00F730B8" w:rsidRPr="00F730B8" w:rsidRDefault="00F730B8" w:rsidP="00D74B7C">
            <w:pPr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0010, Երևան, Մելիք-Ադամյան փող. 1</w:t>
            </w:r>
          </w:p>
        </w:tc>
        <w:tc>
          <w:tcPr>
            <w:tcW w:w="505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:rsidR="00F730B8" w:rsidRPr="00F730B8" w:rsidRDefault="00F730B8" w:rsidP="00D74B7C">
            <w:pPr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Հեռ.  (+374 10)  59-51-03, Ֆաքս (+374 10)  52-42-82</w:t>
            </w:r>
          </w:p>
        </w:tc>
      </w:tr>
    </w:tbl>
    <w:p w:rsidR="00F730B8" w:rsidRPr="00F730B8" w:rsidRDefault="00F730B8" w:rsidP="00F730B8">
      <w:pPr>
        <w:pStyle w:val="NormalWeb"/>
        <w:spacing w:before="0" w:beforeAutospacing="0" w:after="0" w:afterAutospacing="0"/>
        <w:ind w:firstLine="313"/>
        <w:jc w:val="center"/>
        <w:rPr>
          <w:rStyle w:val="Strong"/>
          <w:rFonts w:ascii="GHEA Mariam" w:hAnsi="GHEA Mariam"/>
          <w:sz w:val="22"/>
          <w:szCs w:val="22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Mariam" w:hAnsi="GHEA Mariam"/>
          <w:spacing w:val="100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firstLine="313"/>
        <w:jc w:val="center"/>
        <w:rPr>
          <w:rStyle w:val="Strong"/>
          <w:rFonts w:ascii="GHEA Mariam" w:hAnsi="GHEA Mariam"/>
          <w:spacing w:val="100"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pacing w:val="100"/>
          <w:sz w:val="22"/>
          <w:szCs w:val="22"/>
        </w:rPr>
        <w:t>ՍՏՈՒԳԱԹԵՐԹ</w:t>
      </w:r>
      <w:r w:rsidRPr="00F730B8">
        <w:rPr>
          <w:rStyle w:val="Strong"/>
          <w:rFonts w:ascii="GHEA Mariam" w:hAnsi="GHEA Mariam"/>
          <w:spacing w:val="100"/>
          <w:sz w:val="22"/>
          <w:szCs w:val="22"/>
          <w:lang w:val="en-US"/>
        </w:rPr>
        <w:t xml:space="preserve">  N</w:t>
      </w:r>
      <w:r w:rsidRPr="00F730B8">
        <w:rPr>
          <w:rStyle w:val="Strong"/>
          <w:rFonts w:ascii="GHEA Mariam" w:hAnsi="GHEA Mariam"/>
          <w:spacing w:val="100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pacing w:val="100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/>
        <w:jc w:val="both"/>
        <w:rPr>
          <w:rStyle w:val="Strong"/>
          <w:rFonts w:ascii="GHEA Mariam" w:hAnsi="GHEA Mariam"/>
          <w:b w:val="0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ՇԱՀՈՒՄՈՎ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ԽԱՂԻ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ԿԱԶՄԱԿԵՐՊՄԱՆ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  <w:lang w:val="en-US"/>
        </w:rPr>
        <w:t>G</w:t>
      </w:r>
      <w:r w:rsidRPr="00F730B8">
        <w:rPr>
          <w:rStyle w:val="Strong"/>
          <w:rFonts w:ascii="GHEA Mariam" w:hAnsi="GHEA Mariam"/>
          <w:b w:val="0"/>
          <w:sz w:val="22"/>
          <w:szCs w:val="22"/>
          <w:lang w:val="en-US"/>
        </w:rPr>
        <w:tab/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ԽԱՂԱՏԱՆ </w:t>
      </w:r>
      <w:r w:rsidRPr="00F730B8">
        <w:rPr>
          <w:rStyle w:val="Strong"/>
          <w:rFonts w:ascii="GHEA Mariam" w:hAnsi="GHEA Mariam"/>
          <w:sz w:val="22"/>
          <w:szCs w:val="22"/>
        </w:rPr>
        <w:t>ԿԱԶՄԱԿԵՐՊՄԱՆ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  <w:lang w:val="en-US"/>
        </w:rPr>
        <w:t>G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ԼԻՑԵՆԶ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ԻԱՅԻ </w:t>
      </w:r>
      <w:r w:rsidRPr="00F730B8">
        <w:rPr>
          <w:rStyle w:val="Strong"/>
          <w:rFonts w:ascii="GHEA Mariam" w:hAnsi="GHEA Mariam"/>
          <w:sz w:val="22"/>
          <w:szCs w:val="22"/>
        </w:rPr>
        <w:t>ՊԱՅՄԱՆՆԵՐԻ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ՊԱՀԱՆՋՆԵՐԻ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ԿԱՏԱՐՄԱՆ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firstLine="720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Ստուգման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սկ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ի</w:t>
      </w:r>
      <w:r w:rsidRPr="00F730B8">
        <w:rPr>
          <w:rStyle w:val="Strong"/>
          <w:rFonts w:ascii="GHEA Mariam" w:hAnsi="GHEA Mariam"/>
          <w:sz w:val="22"/>
          <w:szCs w:val="22"/>
        </w:rPr>
        <w:t>զբ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ը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</w:rPr>
        <w:t>Ստուգման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ավարտ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ը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>20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 xml:space="preserve">    </w:t>
      </w:r>
      <w:r w:rsidRPr="00F730B8">
        <w:rPr>
          <w:rStyle w:val="Strong"/>
          <w:rFonts w:ascii="GHEA Mariam" w:hAnsi="GHEA Mariam"/>
          <w:sz w:val="22"/>
          <w:szCs w:val="22"/>
        </w:rPr>
        <w:t>թ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.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  <w:t>20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 xml:space="preserve">    </w:t>
      </w:r>
      <w:r w:rsidRPr="00F730B8">
        <w:rPr>
          <w:rStyle w:val="Strong"/>
          <w:rFonts w:ascii="GHEA Mariam" w:hAnsi="GHEA Mariam"/>
          <w:sz w:val="22"/>
          <w:szCs w:val="22"/>
        </w:rPr>
        <w:t>թ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.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i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</w:rPr>
        <w:t>տարին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,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</w:t>
      </w:r>
      <w:r w:rsidRPr="00F730B8">
        <w:rPr>
          <w:rStyle w:val="Strong"/>
          <w:rFonts w:ascii="GHEA Mariam" w:hAnsi="GHEA Mariam"/>
          <w:i/>
          <w:sz w:val="22"/>
          <w:szCs w:val="22"/>
        </w:rPr>
        <w:t>ամիսը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,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       </w:t>
      </w:r>
      <w:r w:rsidRPr="00F730B8">
        <w:rPr>
          <w:rStyle w:val="Strong"/>
          <w:rFonts w:ascii="GHEA Mariam" w:hAnsi="GHEA Mariam"/>
          <w:i/>
          <w:sz w:val="22"/>
          <w:szCs w:val="22"/>
        </w:rPr>
        <w:t>ամսաթիվը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</w:rPr>
        <w:t>տարին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,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 </w:t>
      </w:r>
      <w:r w:rsidRPr="00F730B8">
        <w:rPr>
          <w:rStyle w:val="Strong"/>
          <w:rFonts w:ascii="GHEA Mariam" w:hAnsi="GHEA Mariam"/>
          <w:i/>
          <w:sz w:val="22"/>
          <w:szCs w:val="22"/>
        </w:rPr>
        <w:t>ամիսը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,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       </w:t>
      </w:r>
      <w:r w:rsidRPr="00F730B8">
        <w:rPr>
          <w:rStyle w:val="Strong"/>
          <w:rFonts w:ascii="GHEA Mariam" w:hAnsi="GHEA Mariam"/>
          <w:i/>
          <w:sz w:val="22"/>
          <w:szCs w:val="22"/>
        </w:rPr>
        <w:t>ամսաթիվը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i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Ստուգման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հիմքն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է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`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Ս</w:t>
      </w:r>
      <w:r w:rsidRPr="00F730B8">
        <w:rPr>
          <w:rStyle w:val="Strong"/>
          <w:rFonts w:ascii="GHEA Mariam" w:hAnsi="GHEA Mariam"/>
          <w:sz w:val="22"/>
          <w:szCs w:val="22"/>
        </w:rPr>
        <w:t>տուգման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ենթակա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հարցերի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շրջանակը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`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Տ</w:t>
      </w:r>
      <w:r w:rsidRPr="00F730B8">
        <w:rPr>
          <w:rStyle w:val="Strong"/>
          <w:rFonts w:ascii="GHEA Mariam" w:hAnsi="GHEA Mariam"/>
          <w:sz w:val="22"/>
          <w:szCs w:val="22"/>
        </w:rPr>
        <w:t>նտեսական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գործունեության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տեսակի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դասակարգչի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ծածկագիրը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`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Ստուգվող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կազմակերպչի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`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անվանումը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`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գտնվելու վայրը`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լիցենզիայի տրման ամսաթիվը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լիցենզւայի համարը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այլ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կոնտակտային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տվյալներ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խաղասրահի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անվանումը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`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խաղասրահի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գտնվելու վայրը`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խաղասրահի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այլ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կոնտակտային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տվյալներ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WP TypographicSymbols" w:hAnsi="WP TypographicSymbols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ՀՎՀՀ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-</w:t>
      </w:r>
      <w:r w:rsidRPr="00F730B8">
        <w:rPr>
          <w:rStyle w:val="Strong"/>
          <w:rFonts w:ascii="GHEA Mariam" w:hAnsi="GHEA Mariam"/>
          <w:sz w:val="22"/>
          <w:szCs w:val="22"/>
        </w:rPr>
        <w:t>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ծածկագիրը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  <w:lang w:val="en-US"/>
        </w:rPr>
        <w:t>GGGGGGGG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lastRenderedPageBreak/>
        <w:t>Ստուգումն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իրականացնող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պաշտոնատար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անձինք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`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b w:val="0"/>
          <w:sz w:val="22"/>
          <w:szCs w:val="22"/>
          <w:lang w:val="en-US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  <w:lang w:val="en-US"/>
        </w:rPr>
        <w:t>GGGGGG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40" w:firstLine="720"/>
        <w:rPr>
          <w:rStyle w:val="Strong"/>
          <w:rFonts w:ascii="GHEA Mariam" w:hAnsi="GHEA Mariam"/>
          <w:i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/պաշտոն/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>/ ծառայողական վկայականի համարը/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b w:val="0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/ազգանուն, անուն, հայրանուն/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/ստորագրություն/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WP TypographicSymbols" w:hAnsi="WP TypographicSymbols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b w:val="0"/>
          <w:sz w:val="22"/>
          <w:szCs w:val="22"/>
          <w:lang w:val="en-US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  <w:lang w:val="en-US"/>
        </w:rPr>
        <w:t>GGGGGG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40" w:firstLine="720"/>
        <w:rPr>
          <w:rStyle w:val="Strong"/>
          <w:rFonts w:ascii="GHEA Mariam" w:hAnsi="GHEA Mariam"/>
          <w:i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/պաշտոն/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>/ ծառայողական վկայականի համարը/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b w:val="0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/ազգանուն, անուն, հայրանուն/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/ստորագրություն/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b w:val="0"/>
          <w:sz w:val="22"/>
          <w:szCs w:val="22"/>
          <w:lang w:val="en-US"/>
        </w:rPr>
        <w:t xml:space="preserve">  </w:t>
      </w:r>
      <w:r w:rsidRPr="00F730B8">
        <w:rPr>
          <w:rStyle w:val="Strong"/>
          <w:rFonts w:ascii="WP TypographicSymbols" w:hAnsi="WP TypographicSymbols"/>
          <w:b w:val="0"/>
          <w:sz w:val="22"/>
          <w:szCs w:val="22"/>
          <w:lang w:val="en-US"/>
        </w:rPr>
        <w:t>GGGGGG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left="1440" w:firstLine="720"/>
        <w:rPr>
          <w:rStyle w:val="Strong"/>
          <w:rFonts w:ascii="GHEA Mariam" w:hAnsi="GHEA Mariam"/>
          <w:i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/պաշտոն/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>/ ծառայողական վկայականի համարը/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rPr>
          <w:rStyle w:val="Strong"/>
          <w:rFonts w:ascii="GHEA Mariam" w:hAnsi="GHEA Mariam"/>
          <w:b w:val="0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/ազգանուն, անուն, հայրանուն/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/ստորագրություն/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Ստուգվող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կազմակերպչի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ղեկավար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կ</w:t>
      </w:r>
      <w:r w:rsidRPr="00F730B8">
        <w:rPr>
          <w:rStyle w:val="Strong"/>
          <w:rFonts w:ascii="GHEA Mariam" w:hAnsi="GHEA Mariam"/>
          <w:sz w:val="22"/>
          <w:szCs w:val="22"/>
        </w:rPr>
        <w:t>ամ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լիազորված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անձ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`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u w:val="single"/>
          <w:lang w:val="en-US"/>
        </w:rPr>
        <w:tab/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jc w:val="center"/>
        <w:rPr>
          <w:rStyle w:val="Strong"/>
          <w:rFonts w:ascii="GHEA Mariam" w:hAnsi="GHEA Mariam"/>
          <w:i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>/ազգանուն, անուն, հայրանուն/</w:t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</w:r>
      <w:r w:rsidRPr="00F730B8">
        <w:rPr>
          <w:rStyle w:val="Strong"/>
          <w:rFonts w:ascii="GHEA Mariam" w:hAnsi="GHEA Mariam"/>
          <w:i/>
          <w:sz w:val="22"/>
          <w:szCs w:val="22"/>
          <w:lang w:val="en-US"/>
        </w:rPr>
        <w:tab/>
        <w:t xml:space="preserve">       /ստորագրություն/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jc w:val="center"/>
        <w:rPr>
          <w:rStyle w:val="Strong"/>
          <w:rFonts w:ascii="GHEA Mariam" w:hAnsi="GHEA Mariam"/>
          <w:i/>
          <w:sz w:val="22"/>
          <w:szCs w:val="22"/>
          <w:lang w:val="en-US"/>
        </w:rPr>
      </w:pP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720" w:firstLine="720"/>
        <w:jc w:val="center"/>
        <w:rPr>
          <w:rFonts w:ascii="GHEA Mariam" w:hAnsi="GHEA Mariam"/>
          <w:b/>
          <w:bCs/>
          <w:i/>
          <w:sz w:val="22"/>
          <w:szCs w:val="22"/>
          <w:lang w:val="en-US"/>
        </w:rPr>
        <w:sectPr w:rsidR="00F730B8" w:rsidRPr="00F730B8" w:rsidSect="00DE043A">
          <w:pgSz w:w="11906" w:h="16838" w:code="9"/>
          <w:pgMar w:top="567" w:right="851" w:bottom="567" w:left="851" w:header="0" w:footer="0" w:gutter="0"/>
          <w:cols w:space="720"/>
          <w:docGrid w:linePitch="360"/>
        </w:sectPr>
      </w:pPr>
    </w:p>
    <w:p w:rsidR="00F730B8" w:rsidRPr="00F730B8" w:rsidRDefault="00F730B8" w:rsidP="00F730B8">
      <w:pPr>
        <w:pStyle w:val="NormalWeb"/>
        <w:spacing w:before="0" w:beforeAutospacing="0" w:after="0" w:afterAutospacing="0"/>
        <w:ind w:left="14"/>
        <w:jc w:val="center"/>
        <w:rPr>
          <w:rFonts w:ascii="GHEA Mariam" w:hAnsi="GHEA Mariam" w:cs="IRTEK Courier"/>
          <w:b/>
          <w:spacing w:val="100"/>
          <w:sz w:val="22"/>
          <w:szCs w:val="22"/>
          <w:lang w:val="en-US"/>
        </w:rPr>
      </w:pPr>
      <w:r w:rsidRPr="00F730B8">
        <w:rPr>
          <w:rFonts w:ascii="GHEA Mariam" w:hAnsi="GHEA Mariam" w:cs="IRTEK Courier"/>
          <w:b/>
          <w:spacing w:val="100"/>
          <w:sz w:val="22"/>
          <w:szCs w:val="22"/>
          <w:lang w:val="en-US"/>
        </w:rPr>
        <w:lastRenderedPageBreak/>
        <w:t>ՀԱՐՑԱՇԱՐ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ՇԱՀՈՒՄՈՎ ԽԱՂԵՐԻ ԵՎ ԽԱՂԱՏՆԵՐԻ ԿԱԶՄԱԿԵՐՊՄԱՆ </w:t>
      </w:r>
      <w:r w:rsidRPr="00F730B8">
        <w:rPr>
          <w:rStyle w:val="Strong"/>
          <w:rFonts w:ascii="GHEA Mariam" w:hAnsi="GHEA Mariam"/>
          <w:sz w:val="22"/>
          <w:szCs w:val="22"/>
        </w:rPr>
        <w:t>ԼԻՑԵՆԶ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>ԻԱՅԻ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</w:rPr>
        <w:t>ՊԱՅՄԱՆՆԵՐԻ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ՊԱՀԱՆՋՆԵՐԻ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ԿԱՏԱՐՄԱՆ</w:t>
      </w:r>
      <w:r w:rsidRPr="00F730B8">
        <w:rPr>
          <w:rStyle w:val="Strong"/>
          <w:rFonts w:ascii="GHEA Mariam" w:hAnsi="GHEA Mariam"/>
          <w:sz w:val="22"/>
          <w:szCs w:val="22"/>
          <w:lang w:val="en-US"/>
        </w:rPr>
        <w:t xml:space="preserve"> ՍՏՈՒԳՄԱՆ ՎԵՐԱԲԵՐՅԱԼ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jc w:val="center"/>
        <w:rPr>
          <w:rStyle w:val="Strong"/>
          <w:rFonts w:ascii="GHEA Mariam" w:hAnsi="GHEA Mariam"/>
          <w:sz w:val="22"/>
          <w:szCs w:val="22"/>
          <w:lang w:val="en-US"/>
        </w:rPr>
      </w:pPr>
    </w:p>
    <w:tbl>
      <w:tblPr>
        <w:tblStyle w:val="Title"/>
        <w:tblW w:w="15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"/>
        <w:gridCol w:w="6608"/>
        <w:gridCol w:w="518"/>
        <w:gridCol w:w="560"/>
        <w:gridCol w:w="602"/>
        <w:gridCol w:w="3247"/>
        <w:gridCol w:w="4018"/>
      </w:tblGrid>
      <w:tr w:rsidR="00F730B8" w:rsidRPr="00F730B8" w:rsidTr="00D74B7C">
        <w:tc>
          <w:tcPr>
            <w:tcW w:w="387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84" w:right="-8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N</w:t>
            </w:r>
          </w:p>
        </w:tc>
        <w:tc>
          <w:tcPr>
            <w:tcW w:w="6608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ՀԱՐՑԸ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7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ԱՅՈ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ՈՉ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16" w:right="-113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ԿՇԻՌ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ՄԵԿՆԱԲԱՆՈՒԹՅՈՒՆՆԵՐ</w:t>
            </w:r>
          </w:p>
        </w:tc>
        <w:tc>
          <w:tcPr>
            <w:tcW w:w="4018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ՀԱՐՑԻ ՀԱՄԱՐ ՀԻՄՔ ՀԱՆԴԻՍԱՑՈՂ ԻՐԱՎԱԿԱՆ ՆՈՐՄԸ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իր ց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ուցանակների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մեջ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օգտագործում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«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խաղատուն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»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բառը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ածանցյալները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թարգմանությունները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3-րդ հոդվածի 3-րդ մաս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bCs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խ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աղային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ավտոմատի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շահագործումից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հասույթի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մեջ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ծրագրավորված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ընդհանուր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մեծության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նվազագույն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չափը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86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տոկոսից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ցածր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1-ին մաս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Կազմակերպիչը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գործունեությունը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իրականաց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ն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է լ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իցենզիայում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նշված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վայրում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հասցեում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&lt;&lt;ա&gt;&gt; կետ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խաղասրահի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տարածք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ի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դրսից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դեպի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ներս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անտեսանելիությ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ունը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&lt;&lt;բ&gt;&gt; կետ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խաղասրահի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տարածքի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պաշտպանությունը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պահպանիչ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ազդարարման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համակարգով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&lt;&lt;գ&gt;&gt; կետ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ել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խաղասրահի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տարածքի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պաշտպանությունը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հակահրդեհային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ազդարարման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համակարգով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&lt;&lt;գ&gt;&gt; կետ</w:t>
            </w:r>
          </w:p>
        </w:tc>
      </w:tr>
      <w:tr w:rsidR="00F730B8" w:rsidRPr="00F730B8" w:rsidTr="00D74B7C">
        <w:trPr>
          <w:trHeight w:val="85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խ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աղասրահում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բացակայել են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մինչև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քսանմեկ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տարեկան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ֆիզիկական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անձինք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&lt;&lt;դ&gt;&gt; կետ</w:t>
            </w:r>
          </w:p>
        </w:tc>
      </w:tr>
      <w:tr w:rsidR="00F730B8" w:rsidRPr="00F730B8" w:rsidTr="00D74B7C">
        <w:trPr>
          <w:trHeight w:val="91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Պ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ատահականությամբ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չպայմանավորված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շահումներով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խաղեր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կազմակերպելիս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խաղացողներ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ին (այսուհետ` Խաղացող)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նախօրոք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նում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բացատր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րում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դրանց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մասին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&lt;&lt;ե&gt;&gt; կետ</w:t>
            </w:r>
          </w:p>
        </w:tc>
      </w:tr>
      <w:tr w:rsidR="00F730B8" w:rsidRPr="00F730B8" w:rsidTr="00D74B7C">
        <w:trPr>
          <w:trHeight w:val="63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խ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աղացողի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առաջին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իսկ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պահանջի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դեպքում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տրամադրում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շահումը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&lt;&lt;զ&gt;&gt; կետ</w:t>
            </w:r>
          </w:p>
        </w:tc>
      </w:tr>
      <w:tr w:rsidR="00F730B8" w:rsidRPr="00F730B8" w:rsidTr="00D74B7C">
        <w:trPr>
          <w:trHeight w:val="140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րդյոք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Կազմակերպիչը խ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աղասրահում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իրականացնում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խաղանիշերի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ժետոնների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փոխանակումը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միայն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կանխիկ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հայկական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դրամով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,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բանկային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քարտով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բանկային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պրակտիկայում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ընդունված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այլ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վճարային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փաստաթղթերով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&lt;&lt;է&gt;&gt;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րդյոք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Կազմակերպիչը խ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աղասրահում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կազմակերպվող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շահումով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կանոնները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փակց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րել է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խաղասրահի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տեսանելի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տեղում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&lt;&lt;թ&gt;&gt;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րդյոք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Կազմակերիչը շ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ահումով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խաղերը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կազմակերպում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անցկացնում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է իր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կողմից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սահմանած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լիազոր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մարմնի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հետ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համաձայնեցված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կանոնակարգին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համապատասխան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5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6-րդ հոդվածի 2-րդ մասի &lt;&lt;ժ&gt;&gt;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ա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ռանց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լիազոր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մարմնին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տեղեկացնելու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չի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փոփոխել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լիցենզավորման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կարգով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սահմանված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լիցենզիա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ստանալու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տվյալներից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մեկը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բացառությամբ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&lt;&lt;Շահումով խաղերի և 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lastRenderedPageBreak/>
              <w:t xml:space="preserve">խաղատների մասին&gt;&gt; ՀՀ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օրենքի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7-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րդ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հոդվածով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նախատեսված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պահանջների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13-րդ հոդվածի 2-րդ մասի &lt;&lt;ը&gt;&gt;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Կազմակերպչի կողմից լ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իազոր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մարմին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տեղեկություններում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(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հաշվետվություններում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) բացակայել են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կեղծ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տվյալներ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&lt;&lt;Շահումով խաղերի և խաղատների մասին&gt;&gt; ՀՀ օրենքի 15-րդ հոդվածի 1-ին մասի &lt;&lt;ա&gt;&gt; կետ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լիցենզիայի վերաձևակերպման համար հիմք հանդիսացող փոփոխություն կատարելիս սահմանված ժամկետում տեղեկացրել է լիազոր մարմնին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&lt;&lt;Լիցենզավորման մասին&gt;&gt; ՀՀ օրենքի 32-րդ հոդվածի 1-ին մաս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Կազմա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կերպիչը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լիցենզիա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ստանալու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ներկայացված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փաստաթղթերում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չի ներկայացրել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լիցենզիան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տալու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համար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էական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նշանակություն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ունեցող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կեղծ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կամ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խեղաթյուրված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տեղեկատվություն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ներ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&lt;&lt;Լիցենզավորման մասին&gt;&gt; ՀՀ օրենքի 37-րդ հոդվածի 1-ին մասի 1-ին կետ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չի կատարել 50 միլիոն դրամը գերազանցող անշարժ գույքի հետ կապված գործարքներ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Fonts w:ascii="GHEA Mariam" w:hAnsi="GHEA Mariam"/>
                <w:bCs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&lt;&lt;Փողերի լվացման և ահաբեկչության ֆինասավորման դեմ պայքարի մասին&gt;&gt; ՀՀ օրենքի 5-րդ հոդվածի 1-ին մասի 2-րդ կետ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Կազմակերպիչն իրականացրել է 20 միլիոն ՀՀ դրամը գերազանցող գործարք (հաճախորդին վաճառել է 20 միլիոն ՀՀ դրամը գերազանցող խաղանիշեր կամ 1 միլիոն դրամը գերազանցող վաճառքից հետո 24 ժամվա ընթացքում վաճառել է 20 միլիոն ՀՀ դրամի հանրագումարը գերազանցող խաղանիշեր կամ հաճախորդին տրամադրել է 20 միլիոն ՀՀ դրամը գերազանցող շահում կամ 1 միլիոն ՀՀ 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lastRenderedPageBreak/>
              <w:t>դրամը գերազանցող շահումին 24 ժամվա ընթացքում հաջորդած շահումների հանրագումարը գերազանցել է 20 միլիոն ՀՀ դրամը), որի գծով  ներկայացվել է պարտադիր տեղեկացման ենթակա գործարքի մասին հաշվետվություն: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5-րդ հոդվածի 1-ին մաս:</w:t>
            </w:r>
          </w:p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rPr>
                <w:rFonts w:ascii="GHEA Mariam" w:hAnsi="GHEA Mariam"/>
                <w:bCs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ՀՀ կենտրոնական բանկի խորհրդի 2008թ. հուլիսի 31-ի 234-Ն որոշման հավելված 1-ի հավելվածի 1-ին կետ:</w:t>
            </w:r>
          </w:p>
        </w:tc>
      </w:tr>
      <w:tr w:rsidR="00F730B8" w:rsidRPr="00F730B8" w:rsidTr="00D74B7C"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պարտադիր տեղեկացման ենթակա հաշվետվությունները ներկայացրել է լիազոր մարմնի սահմանված ձևով, կարգով և ժամկետում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7-րդ հոդված:</w:t>
            </w:r>
          </w:p>
        </w:tc>
      </w:tr>
      <w:tr w:rsidR="00F730B8" w:rsidRPr="00F730B8" w:rsidTr="00D74B7C">
        <w:trPr>
          <w:trHeight w:val="63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Կազմակերպիչն 1 միլիոն ՀՀ դրամը գերազանցող գործարք իրականացնելու դեպքում իրականացրել է հաճախորդի, նրա անունից հանդես եկող լիազորված անձի կամ իրական շահառուի պատշաճ ուսումնասիրույթուն (օրինակ՝ պահանջվել է անձնագիր)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15-րդ հոդված: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Կազմակերպիչն իր կողմից սահմանված պարբերականությամբ թարմացրել է որևէ հաճախորդի հետ գործարար հարաբերության հաստատման արդյունքում ստացված նույնականացման տվյալները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Փողերի լվացման և ահաբեկչության ֆինանսավորման դեմ պայքարի մասին» ՀՀ օրենքի 16-րդ հոդվածի 2-րդ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անբավարար ՓԼ/ԱՖ համակարգ ունեցող երկրի քաղաքացու հետ 1 միլիոն ՀՀ դրամը գերազանցող գործարք իրականացրելիս իրականացրել է հավելյալ ուսումնասիրություն (օրինակ՝ գործարքների համադրում, իրական նպատակի պարզում, ամբողջական պատկերի ստացում և այլն)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Փողերի լվացման և ահաբեկչության ֆինանսավորման դեմ պայքարի մասին» ՀՀ օրենքի 19-րդ հոդվածի 1-րդ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հաճախորդի հետ գործարար հարաբերության 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lastRenderedPageBreak/>
              <w:t>ավարտից հետո Կազմակերպիչն առնվազն 5 տարի ժամկետով պահպանում է հաճախորդի նույնականացման և նրա հետ իրականացրած 1 մլն դրամը գերազանցող գործարքների տվյալները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 xml:space="preserve">«Փողերի լվացման և 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lastRenderedPageBreak/>
              <w:t>ահաբեկչության ֆինանսավորման դեմ պայքարիմասին» ՀՀ օրենքի 20-րդ հոդվածի 1-ին կետ:</w:t>
            </w:r>
          </w:p>
        </w:tc>
      </w:tr>
      <w:tr w:rsidR="00F730B8" w:rsidRPr="00F730B8" w:rsidTr="00D74B7C">
        <w:trPr>
          <w:trHeight w:val="140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10-ից ավելի աշխատակից ունեցող Կազմակերպիչնունի ՓԼ/ԱՖ կանխարգելման գործառույթը կարգավորող ներքին իրավական ակտ, որն առնվազն ներառում է պատշաճ և հավելյալ ուսումնասիրության կանոնները, տեղեկատվության պահպանման կարգը, ներքին աուդիտի և ներքին դիտարկումների մարմնի աշխատանքները, աշխատակիցների ընդունման և վերապատրաստման պայմանները, կասկածելի գործարքների ներքին չափանիշերը, կասկածելի գործարքի կասեցման և ահաբեկչության հետ կապված անձանց ֆինանսական միջոցների սառեցման ընթացակարգերը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21-րդ հոդվածի 1-ին կետ և 3-րդ հոդվածի 1-ին մասի 6-րդ կետ:</w:t>
            </w:r>
          </w:p>
        </w:tc>
      </w:tr>
      <w:tr w:rsidR="00F730B8" w:rsidRPr="00F730B8" w:rsidTr="00D74B7C">
        <w:trPr>
          <w:trHeight w:val="85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Կազմակերպչի որևէ ներքին իրավական ակտի (օրինակ՝ ներքին կարգ, հրաման, հրահանգ և այլն) հիման վրա փողերի լվացման և ահաբեկչության ֆինանսավորման կանխարգելման ներքին գործառույթը վերապահվել է Կազմակերպչի որևէ աշխատակցին, ստորաբաժանմանը կամ համապատասխան մասնագիտացված գործունեություն իրականացնող այլ անձին կամ կազմակերպությանը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22-րդ հոդվածի 1-ին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Կազմակերպչի ներքին դիտարկումների մարմինն առնվազն կիսամյակը մեկ անգամ ուսումնասիրում է 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lastRenderedPageBreak/>
              <w:t>Կազմակերպչի, վերջինիս ստորաբաժանումների և  աշխատակիցների գործունեությունը՝ օրենսդրական, ենթաօրենսդրական և ներքին իրավական ակտերի պահանջներին համապատասխանության տեսանկյունից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 xml:space="preserve">«Փողերի լվացման և ահաբեկչության ֆինանսավորման 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lastRenderedPageBreak/>
              <w:t>դեմ պայքարի մասին» ՀՀ օրենքի 22-րդ հոդվածի 4-րդ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ներքին դիտարկումների մարմնի կողմից իրականացված ուսումնասիրություններն ամփոփվում են հաշվետվությունների տեսքով և տրամադրվում Կազմակերպչի կառավարման բարձրագույն մարմնին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22-րդ հոդվածի 4-րդ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Կազմակերպչի որևէ ներքին իրավական ակտի հիման վրա ներքին դիտարկումների մարմնինը ստացել է ավագ ղեկավարության կարգավիճակ և անհրաժեշտ անկախություն, և առկա չեն նշված որակները կաշկանդող խոչընդոտներ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22-րդ հոդվածի 5-րդ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Կազմակերպիչը 1 միլիոն ՀՀ դրամը գերազանցող գործարք իրականացնելիս` նույնականացրել է հաճախորդին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4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24-րդ հոդվածի 5-րդ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>Արդյոք ահաբեկչության ֆինանսավորման կասկածի առկայության պարագայում Կազմակերպիչը մերժել է գործարքի իրականացումը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2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«Փողերի լվացման և ահաբեկչության ֆինանսավորման դեմ պայքարի մասին» ՀՀ օրենքի 24-րդ հոդվածի 7-րդ մաս:</w:t>
            </w:r>
          </w:p>
        </w:tc>
      </w:tr>
      <w:tr w:rsidR="00F730B8" w:rsidRPr="00F730B8" w:rsidTr="00D74B7C">
        <w:trPr>
          <w:trHeight w:val="196"/>
        </w:trPr>
        <w:tc>
          <w:tcPr>
            <w:tcW w:w="387" w:type="dxa"/>
            <w:shd w:val="clear" w:color="auto" w:fill="auto"/>
          </w:tcPr>
          <w:p w:rsidR="00F730B8" w:rsidRPr="00F730B8" w:rsidRDefault="00F730B8" w:rsidP="00F730B8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before="0" w:beforeAutospacing="0" w:after="0" w:afterAutospacing="0" w:line="240" w:lineRule="auto"/>
              <w:ind w:left="84" w:right="-80" w:hanging="154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60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8" w:right="-85"/>
              <w:jc w:val="both"/>
              <w:rPr>
                <w:rFonts w:ascii="GHEA Mariam" w:hAnsi="GHEA Mariam"/>
                <w:b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t xml:space="preserve">Արդյոք Կազմակերպիչը սառեցման մասին որոշում կայացնելու դեպքում դրա մասին լիազոր մարմնին անմիջապես ներկայացրել է կասկածելի գործարքի </w:t>
            </w:r>
            <w:r w:rsidRPr="00F730B8">
              <w:rPr>
                <w:rFonts w:ascii="GHEA Mariam" w:hAnsi="GHEA Mariam"/>
                <w:b/>
                <w:sz w:val="22"/>
                <w:szCs w:val="22"/>
                <w:lang w:val="en-US"/>
              </w:rPr>
              <w:lastRenderedPageBreak/>
              <w:t>(գործարար հարաբերության) մասին հաշվետվություն</w:t>
            </w:r>
          </w:p>
        </w:tc>
        <w:tc>
          <w:tcPr>
            <w:tcW w:w="5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93" w:right="-117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560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>3</w:t>
            </w:r>
          </w:p>
        </w:tc>
        <w:tc>
          <w:tcPr>
            <w:tcW w:w="3247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</w:p>
        </w:tc>
        <w:tc>
          <w:tcPr>
            <w:tcW w:w="4018" w:type="dxa"/>
            <w:shd w:val="clear" w:color="auto" w:fill="auto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ind w:left="-103" w:right="-76"/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t xml:space="preserve">«Փողերի լվացման և ահաբեկչության ֆինանսավորման դեմ պայքարի մասին» ՀՀ օրենքի </w:t>
            </w:r>
            <w:r w:rsidRPr="00F730B8">
              <w:rPr>
                <w:rStyle w:val="Strong"/>
                <w:rFonts w:ascii="GHEA Mariam" w:hAnsi="GHEA Mariam"/>
                <w:sz w:val="22"/>
                <w:szCs w:val="22"/>
                <w:lang w:val="en-US"/>
              </w:rPr>
              <w:lastRenderedPageBreak/>
              <w:t>25-րդ հոդվածի 3-րդ մաս:</w:t>
            </w:r>
          </w:p>
        </w:tc>
      </w:tr>
    </w:tbl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sz w:val="22"/>
          <w:szCs w:val="22"/>
          <w:lang w:val="en-US"/>
        </w:rPr>
        <w:sectPr w:rsidR="00F730B8" w:rsidRPr="00F730B8" w:rsidSect="00DE043A">
          <w:pgSz w:w="16838" w:h="11906" w:orient="landscape" w:code="9"/>
          <w:pgMar w:top="851" w:right="567" w:bottom="284" w:left="567" w:header="0" w:footer="0" w:gutter="0"/>
          <w:cols w:space="720"/>
          <w:docGrid w:linePitch="360"/>
        </w:sectPr>
      </w:pP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af-ZA"/>
        </w:rPr>
      </w:pPr>
      <w:r w:rsidRPr="00F730B8">
        <w:rPr>
          <w:rFonts w:ascii="GHEA Mariam" w:hAnsi="GHEA Mariam" w:cs="Sylfaen"/>
          <w:b/>
          <w:sz w:val="22"/>
          <w:szCs w:val="22"/>
          <w:lang w:val="af-ZA"/>
        </w:rPr>
        <w:lastRenderedPageBreak/>
        <w:t>Տ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Ե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Ղ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Ե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Կ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Ա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Ն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Ք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–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Հ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Ի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Մ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Ն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Ա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Վ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Ո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Ր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Ո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Ւ</w:t>
      </w:r>
      <w:r w:rsidRPr="00F730B8">
        <w:rPr>
          <w:rFonts w:ascii="GHEA Mariam" w:hAnsi="GHEA Mariam" w:cs="Arial Armenian"/>
          <w:b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  <w:lang w:val="af-ZA"/>
        </w:rPr>
        <w:t>Մ</w:t>
      </w:r>
    </w:p>
    <w:p w:rsidR="00F730B8" w:rsidRPr="00F730B8" w:rsidRDefault="00F730B8" w:rsidP="00F730B8">
      <w:pPr>
        <w:jc w:val="center"/>
        <w:rPr>
          <w:rStyle w:val="Strong"/>
          <w:rFonts w:ascii="GHEA Mariam" w:hAnsi="GHEA Mariam"/>
          <w:sz w:val="22"/>
          <w:szCs w:val="22"/>
          <w:lang w:val="af-ZA"/>
        </w:rPr>
      </w:pPr>
      <w:r w:rsidRPr="00F730B8">
        <w:rPr>
          <w:rStyle w:val="Strong"/>
          <w:rFonts w:ascii="GHEA Mariam" w:hAnsi="GHEA Mariam"/>
          <w:sz w:val="22"/>
          <w:szCs w:val="22"/>
          <w:lang w:val="af-ZA"/>
        </w:rPr>
        <w:t>&lt;&lt;</w:t>
      </w:r>
      <w:r w:rsidRPr="00F730B8">
        <w:rPr>
          <w:rStyle w:val="Strong"/>
          <w:rFonts w:ascii="GHEA Mariam" w:hAnsi="GHEA Mariam"/>
          <w:sz w:val="22"/>
          <w:szCs w:val="22"/>
        </w:rPr>
        <w:t>ՀԱՅԱՍՏԱՆԻ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ՀԱՆՐԱՊԵՏՈՒԹՅԱՆ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ՖԻՆԱՆՍՆԵՐԻ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ՆԱԽԱՐԱՐՈՒԹՅԱՆ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ԱՇԽԱՏԱԿԱԶՄԻ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ԼԻՑԵՆԶԱՎՈՐՄԱՆ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ՊԱՅՄԱՆՆԵՐԻ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ՊԱՀԱՆՋՆԵՐԻ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ՀՍԿՈՂՈՒԹՅԱՆ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ՏԵՍՉՈՒԹՅԱՆ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ԿՈՂՄԻՑ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ԻՐԱԿԱՆԱՑՎՈՂ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ՎԻՃԱԿԱԽԱՂԵՐԻ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, </w:t>
      </w:r>
      <w:r w:rsidRPr="00F730B8">
        <w:rPr>
          <w:rStyle w:val="Strong"/>
          <w:rFonts w:ascii="GHEA Mariam" w:hAnsi="GHEA Mariam"/>
          <w:sz w:val="22"/>
          <w:szCs w:val="22"/>
        </w:rPr>
        <w:t>ՇԱՀՈՒՄՈՎ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ԽԱՂԵՐԻ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ԽԱՂԱՏՆԵՐԻ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ԼԻՑԵՆԶԱՎՈՐՄԱՆ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ՊԱՅՄԱՆՆԵՐԻ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ՊԱՀԱՆՋՆԵՐԻ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ԿԱՏԱՐՄԱՆ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ՍՏՈՒԳԱԹԵՐԹԵՐԸ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ՀԱՍՏԱՏԵԼՈՒ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ՄԱՍԻՆ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>&gt;&gt;</w:t>
      </w:r>
    </w:p>
    <w:p w:rsidR="00F730B8" w:rsidRPr="00F730B8" w:rsidRDefault="00F730B8" w:rsidP="00F730B8">
      <w:pPr>
        <w:jc w:val="center"/>
        <w:rPr>
          <w:rStyle w:val="Strong"/>
          <w:rFonts w:ascii="GHEA Mariam" w:hAnsi="GHEA Mariam"/>
          <w:sz w:val="22"/>
          <w:szCs w:val="22"/>
          <w:lang w:val="af-ZA"/>
        </w:rPr>
      </w:pPr>
      <w:r w:rsidRPr="00F730B8">
        <w:rPr>
          <w:rStyle w:val="Strong"/>
          <w:rFonts w:ascii="GHEA Mariam" w:hAnsi="GHEA Mariam"/>
          <w:sz w:val="22"/>
          <w:szCs w:val="22"/>
        </w:rPr>
        <w:t>ՀԱՅԱՍՏԱՆԻ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ՀԱՆՐԱՊԵՏՈՒԹՅԱՆ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ԿԱՌԱՎԱՐՈՒԹՅԱՆ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ՈՐՈՇՄԱՆ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ՆԱԽԱԳԾԻ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ՎԵՐԱԲԵՐՅԱԼ</w:t>
      </w:r>
    </w:p>
    <w:p w:rsidR="00F730B8" w:rsidRPr="00F730B8" w:rsidRDefault="00F730B8" w:rsidP="00F730B8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sz w:val="22"/>
          <w:szCs w:val="22"/>
          <w:lang w:val="af-Z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"/>
        <w:gridCol w:w="9745"/>
      </w:tblGrid>
      <w:tr w:rsidR="00F730B8" w:rsidRPr="00F730B8" w:rsidTr="00D74B7C">
        <w:tc>
          <w:tcPr>
            <w:tcW w:w="10188" w:type="dxa"/>
            <w:gridSpan w:val="2"/>
          </w:tcPr>
          <w:p w:rsidR="00F730B8" w:rsidRPr="00F730B8" w:rsidRDefault="00F730B8" w:rsidP="00D74B7C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  <w:lang w:val="af-ZA"/>
              </w:rPr>
              <w:t xml:space="preserve">               </w:t>
            </w:r>
            <w:r w:rsidRPr="00F730B8">
              <w:rPr>
                <w:rFonts w:ascii="GHEA Mariam" w:hAnsi="GHEA Mariam"/>
                <w:b/>
                <w:sz w:val="22"/>
                <w:szCs w:val="22"/>
              </w:rPr>
              <w:t>Իրավական ակտի հիմնավորումը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1.</w:t>
            </w:r>
          </w:p>
        </w:tc>
        <w:tc>
          <w:tcPr>
            <w:tcW w:w="9745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Անհրաժեշտությունը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45" w:type="dxa"/>
          </w:tcPr>
          <w:p w:rsidR="00F730B8" w:rsidRPr="00F730B8" w:rsidRDefault="00F730B8" w:rsidP="00D74B7C">
            <w:pPr>
              <w:pStyle w:val="NormalWeb"/>
              <w:spacing w:before="0" w:beforeAutospacing="0" w:after="0" w:afterAutospacing="0"/>
              <w:jc w:val="both"/>
              <w:rPr>
                <w:rFonts w:ascii="GHEA Mariam" w:hAnsi="GHEA Mariam"/>
                <w:sz w:val="22"/>
                <w:szCs w:val="22"/>
                <w:lang w:val="en-US"/>
              </w:rPr>
            </w:pP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ab/>
              <w:t xml:space="preserve">2011 </w:t>
            </w:r>
            <w:r w:rsidRPr="00F730B8">
              <w:rPr>
                <w:rFonts w:ascii="GHEA Mariam" w:hAnsi="GHEA Mariam"/>
                <w:sz w:val="22"/>
                <w:szCs w:val="22"/>
              </w:rPr>
              <w:t>թվականի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հունիսի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23-</w:t>
            </w:r>
            <w:r w:rsidRPr="00F730B8">
              <w:rPr>
                <w:rFonts w:ascii="GHEA Mariam" w:hAnsi="GHEA Mariam"/>
                <w:sz w:val="22"/>
                <w:szCs w:val="22"/>
              </w:rPr>
              <w:t>ին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ընդունվել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նույն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թվականի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օգոստոսի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6-</w:t>
            </w:r>
            <w:r w:rsidRPr="00F730B8">
              <w:rPr>
                <w:rFonts w:ascii="GHEA Mariam" w:hAnsi="GHEA Mariam"/>
                <w:sz w:val="22"/>
                <w:szCs w:val="22"/>
              </w:rPr>
              <w:t>ին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ուժի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մեջ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մտել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 &lt;&lt;</w:t>
            </w:r>
            <w:r w:rsidRPr="00F730B8">
              <w:rPr>
                <w:rFonts w:ascii="GHEA Mariam" w:hAnsi="GHEA Mariam"/>
                <w:sz w:val="22"/>
                <w:szCs w:val="22"/>
              </w:rPr>
              <w:t>Հայաստանի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Հանրապետությունում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ստուգումների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կազմակերպման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անցկացման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մասին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&gt;&gt; </w:t>
            </w:r>
            <w:r w:rsidRPr="00F730B8">
              <w:rPr>
                <w:rFonts w:ascii="GHEA Mariam" w:hAnsi="GHEA Mariam"/>
                <w:sz w:val="22"/>
                <w:szCs w:val="22"/>
              </w:rPr>
              <w:t>Հայաստանի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օրենքում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փոփոխություններ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լրացումներ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կատարելու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մասին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&gt;&gt; </w:t>
            </w:r>
            <w:r w:rsidRPr="00F730B8">
              <w:rPr>
                <w:rFonts w:ascii="GHEA Mariam" w:hAnsi="GHEA Mariam"/>
                <w:sz w:val="22"/>
                <w:szCs w:val="22"/>
              </w:rPr>
              <w:t>Հայաստանի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օրենքը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(</w:t>
            </w:r>
            <w:r w:rsidRPr="00F730B8">
              <w:rPr>
                <w:rFonts w:ascii="GHEA Mariam" w:hAnsi="GHEA Mariam"/>
                <w:sz w:val="22"/>
                <w:szCs w:val="22"/>
              </w:rPr>
              <w:t>այսուհետ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` </w:t>
            </w:r>
            <w:r w:rsidRPr="00F730B8">
              <w:rPr>
                <w:rFonts w:ascii="GHEA Mariam" w:hAnsi="GHEA Mariam"/>
                <w:sz w:val="22"/>
                <w:szCs w:val="22"/>
              </w:rPr>
              <w:t>Օրենք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), </w:t>
            </w:r>
            <w:r w:rsidRPr="00F730B8">
              <w:rPr>
                <w:rFonts w:ascii="GHEA Mariam" w:hAnsi="GHEA Mariam"/>
                <w:sz w:val="22"/>
                <w:szCs w:val="22"/>
              </w:rPr>
              <w:t>որի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4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>-</w:t>
            </w:r>
            <w:r w:rsidRPr="00F730B8">
              <w:rPr>
                <w:rFonts w:ascii="GHEA Mariam" w:hAnsi="GHEA Mariam"/>
                <w:sz w:val="22"/>
                <w:szCs w:val="22"/>
              </w:rPr>
              <w:t>րդ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հոդվածով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&lt;&lt;</w:t>
            </w:r>
            <w:r w:rsidRPr="00F730B8">
              <w:rPr>
                <w:rFonts w:ascii="GHEA Mariam" w:hAnsi="GHEA Mariam"/>
                <w:sz w:val="22"/>
                <w:szCs w:val="22"/>
              </w:rPr>
              <w:t>Հայաստանի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Հանրապետությունում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ստուգումների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կազմակերպման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և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անցկացման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մասին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&gt;&gt; </w:t>
            </w:r>
            <w:r w:rsidRPr="00F730B8">
              <w:rPr>
                <w:rFonts w:ascii="GHEA Mariam" w:hAnsi="GHEA Mariam"/>
                <w:sz w:val="22"/>
                <w:szCs w:val="22"/>
              </w:rPr>
              <w:t>Հայաստանի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օրենք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ի 3-րդ հոդված</w:t>
            </w:r>
            <w:r w:rsidRPr="00F730B8">
              <w:rPr>
                <w:rFonts w:ascii="GHEA Mariam" w:hAnsi="GHEA Mariam"/>
                <w:sz w:val="22"/>
                <w:szCs w:val="22"/>
              </w:rPr>
              <w:t>ը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լրացվել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1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>.1-</w:t>
            </w:r>
            <w:r w:rsidRPr="00F730B8">
              <w:rPr>
                <w:rFonts w:ascii="GHEA Mariam" w:hAnsi="GHEA Mariam"/>
                <w:sz w:val="22"/>
                <w:szCs w:val="22"/>
              </w:rPr>
              <w:t>րդ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մաս</w:t>
            </w:r>
            <w:r w:rsidRPr="00F730B8">
              <w:rPr>
                <w:rFonts w:ascii="GHEA Mariam" w:hAnsi="GHEA Mariam"/>
                <w:sz w:val="22"/>
                <w:szCs w:val="22"/>
              </w:rPr>
              <w:t>ով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: </w:t>
            </w:r>
            <w:r w:rsidRPr="00F730B8">
              <w:rPr>
                <w:rFonts w:ascii="GHEA Mariam" w:hAnsi="GHEA Mariam"/>
                <w:sz w:val="22"/>
                <w:szCs w:val="22"/>
              </w:rPr>
              <w:t>Այդ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մասի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1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>-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ին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պարբերությամբ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սահմանված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է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, </w:t>
            </w:r>
            <w:r w:rsidRPr="00F730B8">
              <w:rPr>
                <w:rFonts w:ascii="GHEA Mariam" w:hAnsi="GHEA Mariam"/>
                <w:sz w:val="22"/>
                <w:szCs w:val="22"/>
              </w:rPr>
              <w:t>որ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>բոլոր ստուգումները (</w:t>
            </w:r>
            <w:r w:rsidRPr="00F730B8">
              <w:rPr>
                <w:rFonts w:ascii="GHEA Mariam" w:hAnsi="GHEA Mariam" w:cs="Sylfaen"/>
                <w:sz w:val="22"/>
                <w:szCs w:val="22"/>
                <w:lang w:val="en-US"/>
              </w:rPr>
              <w:t>օրենքով սահմանված են բացառություններ</w:t>
            </w:r>
            <w:r w:rsidRPr="00F730B8">
              <w:rPr>
                <w:rFonts w:ascii="GHEA Mariam" w:hAnsi="GHEA Mariam"/>
                <w:sz w:val="22"/>
                <w:szCs w:val="22"/>
                <w:lang w:val="en-US"/>
              </w:rPr>
              <w:t xml:space="preserve">) անցկացվում են բացառապես ստուգաթերթերի հիման վրա, որոնք հաստատում է </w:t>
            </w:r>
            <w:r w:rsidRPr="00F730B8">
              <w:rPr>
                <w:rFonts w:ascii="GHEA Mariam" w:hAnsi="GHEA Mariam"/>
                <w:sz w:val="22"/>
                <w:szCs w:val="22"/>
              </w:rPr>
              <w:t>Հայաստանի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 xml:space="preserve"> </w:t>
            </w:r>
            <w:r w:rsidRPr="00F730B8">
              <w:rPr>
                <w:rFonts w:ascii="GHEA Mariam" w:hAnsi="GHEA Mariam"/>
                <w:sz w:val="22"/>
                <w:szCs w:val="22"/>
              </w:rPr>
              <w:t>կառավարությունը</w:t>
            </w:r>
            <w:r w:rsidRPr="00F730B8">
              <w:rPr>
                <w:rFonts w:ascii="GHEA Mariam" w:hAnsi="GHEA Mariam"/>
                <w:sz w:val="22"/>
                <w:szCs w:val="22"/>
                <w:lang w:val="en-GB"/>
              </w:rPr>
              <w:t>: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2.</w:t>
            </w:r>
          </w:p>
        </w:tc>
        <w:tc>
          <w:tcPr>
            <w:tcW w:w="9745" w:type="dxa"/>
          </w:tcPr>
          <w:p w:rsidR="00F730B8" w:rsidRPr="00F730B8" w:rsidRDefault="00F730B8" w:rsidP="00D74B7C">
            <w:pPr>
              <w:jc w:val="both"/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Ընթացիկ իրավիճակը և խնդիրները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45" w:type="dxa"/>
          </w:tcPr>
          <w:p w:rsidR="00F730B8" w:rsidRPr="00F730B8" w:rsidRDefault="00F730B8" w:rsidP="00D74B7C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t>Մինչև Օրենքը ուժի մեջ մտնելը տնտեսվարող սուբյեկտների մոտ ստուգումները իրականացվում էին առանց ստուգաթերթերի: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3.</w:t>
            </w:r>
          </w:p>
        </w:tc>
        <w:tc>
          <w:tcPr>
            <w:tcW w:w="9745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45" w:type="dxa"/>
          </w:tcPr>
          <w:p w:rsidR="00F730B8" w:rsidRPr="00F730B8" w:rsidRDefault="00F730B8" w:rsidP="00D74B7C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tab/>
            </w:r>
            <w:r w:rsidRPr="00F730B8">
              <w:rPr>
                <w:rFonts w:ascii="GHEA Mariam" w:hAnsi="GHEA Mariam"/>
                <w:sz w:val="22"/>
                <w:szCs w:val="22"/>
              </w:rPr>
              <w:tab/>
            </w:r>
            <w:r w:rsidRPr="00F730B8">
              <w:rPr>
                <w:rFonts w:ascii="GHEA Mariam" w:hAnsi="GHEA Mariam"/>
                <w:sz w:val="22"/>
                <w:szCs w:val="22"/>
                <w:u w:val="single"/>
              </w:rPr>
              <w:tab/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4.</w:t>
            </w:r>
          </w:p>
        </w:tc>
        <w:tc>
          <w:tcPr>
            <w:tcW w:w="9745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Կարգավորման նպատակը և բնույթը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45" w:type="dxa"/>
          </w:tcPr>
          <w:p w:rsidR="00F730B8" w:rsidRPr="00F730B8" w:rsidRDefault="00F730B8" w:rsidP="00D74B7C">
            <w:pPr>
              <w:jc w:val="both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t>Ստուգաթերթերի սահմանումը նպատակ է հետապնդում հստակեցնել տեղում ստուգումներ իրականացնելու ժամանակ ուսումնասիրվող հարցերի շրջանակը: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5.</w:t>
            </w:r>
          </w:p>
        </w:tc>
        <w:tc>
          <w:tcPr>
            <w:tcW w:w="9745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45" w:type="dxa"/>
          </w:tcPr>
          <w:p w:rsidR="00F730B8" w:rsidRPr="00F730B8" w:rsidRDefault="00F730B8" w:rsidP="00D74B7C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Cs/>
                <w:sz w:val="22"/>
                <w:szCs w:val="22"/>
              </w:rPr>
              <w:t>Նախագիծը մշակվել է Հայաստանի Հանրապետության ֆինանսների նախարարության աշխատակազմի լիցենզավորման պայմանների և պահանջների հսկողության տեսչության կողմից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6.</w:t>
            </w:r>
          </w:p>
        </w:tc>
        <w:tc>
          <w:tcPr>
            <w:tcW w:w="9745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Ակնկալվող արդյունքը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45" w:type="dxa"/>
          </w:tcPr>
          <w:p w:rsidR="00F730B8" w:rsidRPr="00F730B8" w:rsidRDefault="00F730B8" w:rsidP="00D74B7C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t>Ստուգաթերթից դուրս այլ հարցեր չեն տրվի տնտեսվարող սուբյեկտներին: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>7.</w:t>
            </w:r>
          </w:p>
        </w:tc>
        <w:tc>
          <w:tcPr>
            <w:tcW w:w="9745" w:type="dxa"/>
          </w:tcPr>
          <w:p w:rsidR="00F730B8" w:rsidRPr="00F730B8" w:rsidRDefault="00F730B8" w:rsidP="00D74B7C">
            <w:pPr>
              <w:rPr>
                <w:rFonts w:ascii="GHEA Mariam" w:hAnsi="GHEA Mariam"/>
                <w:b/>
                <w:sz w:val="22"/>
                <w:szCs w:val="22"/>
              </w:rPr>
            </w:pPr>
            <w:r w:rsidRPr="00F730B8">
              <w:rPr>
                <w:rFonts w:ascii="GHEA Mariam" w:hAnsi="GHEA Mariam"/>
                <w:b/>
                <w:sz w:val="22"/>
                <w:szCs w:val="22"/>
              </w:rPr>
              <w:t xml:space="preserve">Այլ տեղեկություններ </w:t>
            </w:r>
            <w:r w:rsidRPr="00F730B8">
              <w:rPr>
                <w:rFonts w:ascii="GHEA Mariam" w:hAnsi="GHEA Mariam" w:cs="Sylfaen"/>
                <w:b/>
                <w:bCs/>
                <w:sz w:val="22"/>
                <w:szCs w:val="22"/>
              </w:rPr>
              <w:t>(եթե այդպիսիք առկա են)</w:t>
            </w:r>
          </w:p>
        </w:tc>
      </w:tr>
      <w:tr w:rsidR="00F730B8" w:rsidRPr="00F730B8" w:rsidTr="00D74B7C">
        <w:tc>
          <w:tcPr>
            <w:tcW w:w="443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745" w:type="dxa"/>
          </w:tcPr>
          <w:p w:rsidR="00F730B8" w:rsidRPr="00F730B8" w:rsidRDefault="00F730B8" w:rsidP="00D74B7C">
            <w:pPr>
              <w:rPr>
                <w:rFonts w:ascii="GHEA Mariam" w:hAnsi="GHEA Mariam"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t>Չկան</w:t>
            </w:r>
          </w:p>
        </w:tc>
      </w:tr>
    </w:tbl>
    <w:p w:rsidR="00F730B8" w:rsidRPr="00F730B8" w:rsidRDefault="00F730B8" w:rsidP="00F730B8">
      <w:pPr>
        <w:pStyle w:val="BodyTextIndent3"/>
        <w:ind w:left="357"/>
        <w:jc w:val="center"/>
        <w:rPr>
          <w:rStyle w:val="Strong"/>
          <w:rFonts w:ascii="GHEA Mariam" w:hAnsi="GHEA Mariam"/>
          <w:sz w:val="22"/>
          <w:szCs w:val="22"/>
        </w:rPr>
      </w:pPr>
    </w:p>
    <w:p w:rsidR="00F730B8" w:rsidRPr="00F730B8" w:rsidRDefault="00F730B8" w:rsidP="00F730B8">
      <w:pPr>
        <w:pStyle w:val="BodyTextIndent3"/>
        <w:ind w:left="357"/>
        <w:jc w:val="center"/>
        <w:rPr>
          <w:rStyle w:val="Strong"/>
          <w:rFonts w:ascii="GHEA Mariam" w:hAnsi="GHEA Mariam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br w:type="page"/>
      </w:r>
      <w:r w:rsidRPr="00F730B8">
        <w:rPr>
          <w:rStyle w:val="Strong"/>
          <w:rFonts w:ascii="GHEA Mariam" w:hAnsi="GHEA Mariam"/>
          <w:sz w:val="22"/>
          <w:szCs w:val="22"/>
        </w:rPr>
        <w:lastRenderedPageBreak/>
        <w:t>ՏԵՂԵԿԱՆՔ</w:t>
      </w:r>
    </w:p>
    <w:p w:rsidR="00F730B8" w:rsidRPr="00F730B8" w:rsidRDefault="00F730B8" w:rsidP="00F730B8">
      <w:pPr>
        <w:jc w:val="center"/>
        <w:rPr>
          <w:rStyle w:val="Strong"/>
          <w:rFonts w:ascii="GHEA Mariam" w:hAnsi="GHEA Mariam"/>
          <w:sz w:val="22"/>
          <w:szCs w:val="22"/>
          <w:lang w:val="hy-AM"/>
        </w:rPr>
      </w:pPr>
      <w:r w:rsidRPr="00F730B8">
        <w:rPr>
          <w:rStyle w:val="Strong"/>
          <w:rFonts w:ascii="GHEA Mariam" w:hAnsi="GHEA Mariam"/>
          <w:sz w:val="22"/>
          <w:szCs w:val="22"/>
          <w:lang w:val="hy-AM"/>
        </w:rPr>
        <w:t>&lt;&lt;ՀԱՅԱՍՏԱՆԻ ՀԱՆՐԱՊԵՏՈՒԹՅԱՆ ՖԻՆԱՆՍՆԵՐԻ ՆԱԽԱՐԱՐՈՒԹՅԱՆ ԱՇԽԱՏԱԿԱԶՄԻ ԼԻՑԵՆԶԱՎՈՐՄԱՆ ՊԱՅՄԱՆՆԵՐԻ ԵՎ ՊԱՀԱՆՋՆԵՐԻ ՀՍԿՈՂՈՒԹՅԱՆ ՏԵՍՉՈՒԹՅԱՆ ԿՈՂՄԻՑ ԻՐԱԿԱՆԱՑՎՈՂ ՎԻՃԱԿԱԽԱՂԵՐԻ, ՇԱՀՈՒՄՈՎ ԽԱՂԵՐԻ ԵՎ ԽԱՂԱՏՆԵՐԻ ԼԻՑԵՆԶԱՎՈՐՄԱՆ ՊԱՅՄԱՆՆԵՐԻ ԵՎ ՊԱՀԱՆՋՆԵՐԻ ԿԱՏԱՐՄԱՆ ՍՏՈՒԳԱԹԵՐԹԵՐԸ ՀԱՍՏԱՏԵԼՈՒ ՄԱՍԻՆ&gt;&gt; ՀԱՅԱՍՏԱՆԻ ՀԱՆՐԱՊԵՏՈՒԹՅԱՆ ԿԱՌԱՎԱՐՈՒԹՅԱՆ ՈՐՈՇՄԱՆ ՆԱԽԱԳԾԻ ԸՆԴՈՒՆՄԱՄԲ ԱՅԼ ԻՐԱՎԱԿԱՆ ԱԿՏԵՐԻ ԸՆԴՈՒՆՄԱՆ ԱՆՀՐԱԺԵՇՏՈՒԹՅԱՆ ԿԱՄ ԲԱՑԱԿԱՅՈՒԹՅԱՆ ՄԱՍԻՆ</w:t>
      </w:r>
    </w:p>
    <w:p w:rsidR="00F730B8" w:rsidRPr="00F730B8" w:rsidRDefault="00F730B8" w:rsidP="00F730B8">
      <w:pPr>
        <w:spacing w:line="360" w:lineRule="auto"/>
        <w:ind w:left="-540"/>
        <w:jc w:val="center"/>
        <w:rPr>
          <w:rStyle w:val="Strong"/>
          <w:rFonts w:ascii="GHEA Mariam" w:hAnsi="GHEA Mariam"/>
          <w:b w:val="0"/>
          <w:bCs w:val="0"/>
          <w:sz w:val="22"/>
          <w:szCs w:val="22"/>
          <w:lang w:val="hy-AM"/>
        </w:rPr>
      </w:pPr>
    </w:p>
    <w:p w:rsidR="00F730B8" w:rsidRPr="00F730B8" w:rsidRDefault="00F730B8" w:rsidP="00F730B8">
      <w:pPr>
        <w:pStyle w:val="BodyTextIndent3"/>
        <w:ind w:firstLine="360"/>
        <w:rPr>
          <w:rFonts w:ascii="GHEA Mariam" w:hAnsi="GHEA Mariam" w:cs="Times Armenian"/>
          <w:sz w:val="22"/>
          <w:szCs w:val="22"/>
          <w:lang w:val="en-US"/>
        </w:rPr>
      </w:pPr>
      <w:r w:rsidRPr="00F730B8">
        <w:rPr>
          <w:rFonts w:ascii="GHEA Mariam" w:hAnsi="GHEA Mariam" w:cs="Sylfaen"/>
          <w:sz w:val="22"/>
          <w:szCs w:val="22"/>
        </w:rPr>
        <w:t>Սույն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որոշման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ընդունումը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չի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նախատեսում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այլ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իրավական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ակտերում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փոփոխությունների</w:t>
      </w:r>
      <w:r w:rsidRPr="00F730B8">
        <w:rPr>
          <w:rFonts w:ascii="GHEA Mariam" w:hAnsi="GHEA Mariam" w:cs="Times Armenian"/>
          <w:sz w:val="22"/>
          <w:szCs w:val="22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կատարում</w:t>
      </w:r>
      <w:r w:rsidRPr="00F730B8">
        <w:rPr>
          <w:rFonts w:ascii="GHEA Mariam" w:hAnsi="GHEA Mariam" w:cs="Times Armenian"/>
          <w:sz w:val="22"/>
          <w:szCs w:val="22"/>
        </w:rPr>
        <w:t>:</w:t>
      </w: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 w:cs="Sylfaen"/>
          <w:b/>
          <w:sz w:val="22"/>
          <w:szCs w:val="22"/>
        </w:rPr>
      </w:pP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/>
          <w:b/>
          <w:sz w:val="22"/>
          <w:szCs w:val="22"/>
        </w:rPr>
      </w:pPr>
      <w:r w:rsidRPr="00F730B8">
        <w:rPr>
          <w:rFonts w:ascii="GHEA Mariam" w:hAnsi="GHEA Mariam" w:cs="Sylfaen"/>
          <w:b/>
          <w:sz w:val="22"/>
          <w:szCs w:val="22"/>
        </w:rPr>
        <w:t>ՏԵՂԵԿԱՆՔ</w:t>
      </w:r>
    </w:p>
    <w:p w:rsidR="00F730B8" w:rsidRPr="00F730B8" w:rsidRDefault="00F730B8" w:rsidP="00F730B8">
      <w:pPr>
        <w:jc w:val="center"/>
        <w:rPr>
          <w:rStyle w:val="Strong"/>
          <w:rFonts w:ascii="GHEA Mariam" w:hAnsi="GHEA Mariam"/>
          <w:bCs w:val="0"/>
          <w:sz w:val="22"/>
          <w:szCs w:val="22"/>
        </w:rPr>
      </w:pPr>
      <w:r w:rsidRPr="00F730B8">
        <w:rPr>
          <w:rStyle w:val="Strong"/>
          <w:rFonts w:ascii="GHEA Mariam" w:hAnsi="GHEA Mariam"/>
          <w:sz w:val="22"/>
          <w:szCs w:val="22"/>
        </w:rPr>
        <w:t xml:space="preserve">&lt;&lt;ՀԱՅԱՍՏԱՆԻ ՀԱՆՐԱՊԵՏՈՒԹՅԱՆ ՖԻՆԱՆՍՆԵՐԻ ՆԱԽԱՐԱՐՈՒԹՅԱՆ ԱՇԽԱՏԱԿԱԶՄԻ ԼԻՑԵՆԶԱՎՈՐՄԱՆ ՊԱՅՄԱՆՆԵՐԻ ԵՎ ՊԱՀԱՆՋՆԵՐԻ ՀՍԿՈՂՈՒԹՅԱՆ ՏԵՍՉՈՒԹՅԱՆ ԿՈՂՄԻՑ ԻՐԱԿԱՆԱՑՎՈՂ ՎԻՃԱԿԱԽԱՂԵՐԻ, ՇԱՀՈՒՄՈՎ ԽԱՂԵՐԻ ԵՎ ԽԱՂԱՏՆԵՐԻ ԼԻՑԵՆԶԱՎՈՐՄԱՆ ՊԱՅՄԱՆՆԵՐԻ ԵՎ ՊԱՀԱՆՋՆԵՐԻ ԿԱՏԱՐՄԱՆ ՍՏՈՒԳԱԹԵՐԹԵՐԸ ՀԱՍՏԱՏԵԼՈՒ ՄԱՍԻՆ&gt;&gt; ՀԱՅԱՍՏԱՆԻ ՀԱՆՐԱՊԵՏՈՒԹՅԱՆ ԿԱՌԱՎԱՐՈՒԹՅԱՆ ՈՐՈՇՄԱՆ ՆԱԽԱԳԻԾԸ </w:t>
      </w:r>
      <w:r w:rsidRPr="00F730B8">
        <w:rPr>
          <w:rFonts w:ascii="GHEA Mariam" w:hAnsi="GHEA Mariam" w:cs="Sylfaen"/>
          <w:b/>
          <w:sz w:val="22"/>
          <w:szCs w:val="22"/>
        </w:rPr>
        <w:t>ԸՆԴՈՒՆԵԼՈՒ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ԿԱՊԱԿՑՈՒԹՅԱՄԲ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ՀՀ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ՊԵՏԱԿԱՆ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 </w:t>
      </w:r>
      <w:r w:rsidRPr="00F730B8">
        <w:rPr>
          <w:rFonts w:ascii="GHEA Mariam" w:hAnsi="GHEA Mariam" w:cs="Sylfaen"/>
          <w:b/>
          <w:sz w:val="22"/>
          <w:szCs w:val="22"/>
        </w:rPr>
        <w:t>ԲՅՈՒՋԵՈՒՄ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 </w:t>
      </w:r>
      <w:r w:rsidRPr="00F730B8">
        <w:rPr>
          <w:rFonts w:ascii="GHEA Mariam" w:hAnsi="GHEA Mariam" w:cs="Sylfaen"/>
          <w:b/>
          <w:sz w:val="22"/>
          <w:szCs w:val="22"/>
        </w:rPr>
        <w:t>ԾԱԽՍԵՐԻ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ԿԱՄ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ԵԿԱՄՈՒՏՆԵՐԻ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</w:t>
      </w:r>
      <w:r w:rsidRPr="00F730B8">
        <w:rPr>
          <w:rFonts w:ascii="GHEA Mariam" w:hAnsi="GHEA Mariam" w:cs="Sylfaen"/>
          <w:b/>
          <w:sz w:val="22"/>
          <w:szCs w:val="22"/>
        </w:rPr>
        <w:t>ԷԱԿԱՆ</w:t>
      </w:r>
      <w:r w:rsidRPr="00F730B8">
        <w:rPr>
          <w:rFonts w:ascii="GHEA Mariam" w:hAnsi="GHEA Mariam" w:cs="Times Armenian"/>
          <w:b/>
          <w:sz w:val="22"/>
          <w:szCs w:val="22"/>
        </w:rPr>
        <w:t xml:space="preserve"> ԱՎԵԼԱՑՄԱՆ ԿԱՄ ՆՎԱԶԵՑՄԱՆ </w:t>
      </w:r>
      <w:r w:rsidRPr="00F730B8">
        <w:rPr>
          <w:rFonts w:ascii="GHEA Mariam" w:hAnsi="GHEA Mariam" w:cs="Sylfaen"/>
          <w:b/>
          <w:sz w:val="22"/>
          <w:szCs w:val="22"/>
        </w:rPr>
        <w:t>ՄԱՍԻՆ</w:t>
      </w:r>
    </w:p>
    <w:p w:rsidR="00F730B8" w:rsidRPr="00F730B8" w:rsidRDefault="00F730B8" w:rsidP="00F730B8">
      <w:pPr>
        <w:spacing w:line="360" w:lineRule="auto"/>
        <w:jc w:val="both"/>
        <w:rPr>
          <w:rFonts w:ascii="GHEA Mariam" w:hAnsi="GHEA Mariam" w:cs="Sylfaen"/>
          <w:sz w:val="22"/>
          <w:szCs w:val="22"/>
        </w:rPr>
      </w:pPr>
    </w:p>
    <w:p w:rsidR="00F730B8" w:rsidRPr="00F730B8" w:rsidRDefault="00F730B8" w:rsidP="00F730B8">
      <w:pPr>
        <w:pStyle w:val="BodyTextIndent3"/>
        <w:ind w:firstLine="720"/>
        <w:rPr>
          <w:rFonts w:ascii="GHEA Mariam" w:hAnsi="GHEA Mariam" w:cs="Sylfaen"/>
          <w:sz w:val="22"/>
          <w:szCs w:val="22"/>
        </w:rPr>
      </w:pPr>
      <w:r w:rsidRPr="00F730B8">
        <w:rPr>
          <w:rFonts w:ascii="GHEA Mariam" w:hAnsi="GHEA Mariam" w:cs="Sylfaen"/>
          <w:sz w:val="22"/>
          <w:szCs w:val="22"/>
        </w:rPr>
        <w:t>Սույն որոշման ընդունմամբ ՀՀ պետական բյուջեի ծախսերի կամ եկամուտների փոփոխություն  չի նախատեսվում:</w:t>
      </w:r>
    </w:p>
    <w:p w:rsidR="00F730B8" w:rsidRPr="00F730B8" w:rsidRDefault="00F730B8" w:rsidP="00F730B8">
      <w:pPr>
        <w:pStyle w:val="Title"/>
        <w:rPr>
          <w:rFonts w:ascii="GHEA Mariam" w:hAnsi="GHEA Mariam" w:cs="Sylfaen"/>
          <w:b/>
          <w:sz w:val="22"/>
          <w:szCs w:val="22"/>
        </w:rPr>
      </w:pPr>
    </w:p>
    <w:p w:rsidR="00F730B8" w:rsidRPr="00F730B8" w:rsidRDefault="00F730B8" w:rsidP="00F730B8">
      <w:pPr>
        <w:pStyle w:val="Title"/>
        <w:rPr>
          <w:rFonts w:ascii="GHEA Mariam" w:hAnsi="GHEA Mariam" w:cs="Sylfaen"/>
          <w:b/>
          <w:sz w:val="22"/>
          <w:szCs w:val="22"/>
          <w:lang w:val="af-ZA"/>
        </w:rPr>
      </w:pPr>
      <w:r w:rsidRPr="00F730B8">
        <w:rPr>
          <w:rFonts w:ascii="GHEA Mariam" w:hAnsi="GHEA Mariam" w:cs="Sylfaen"/>
          <w:b/>
          <w:sz w:val="22"/>
          <w:szCs w:val="22"/>
        </w:rPr>
        <w:t>ՏԵՂԵԿԱՆՔ</w:t>
      </w:r>
    </w:p>
    <w:p w:rsidR="00F730B8" w:rsidRPr="00F730B8" w:rsidRDefault="00F730B8" w:rsidP="00F730B8">
      <w:pPr>
        <w:jc w:val="center"/>
        <w:rPr>
          <w:rFonts w:cs="Sylfaen"/>
          <w:sz w:val="22"/>
          <w:szCs w:val="22"/>
          <w:lang w:val="hy-AM"/>
        </w:rPr>
      </w:pPr>
      <w:r w:rsidRPr="00F730B8">
        <w:rPr>
          <w:rStyle w:val="Strong"/>
          <w:rFonts w:ascii="GHEA Mariam" w:hAnsi="GHEA Mariam"/>
          <w:sz w:val="22"/>
          <w:szCs w:val="22"/>
          <w:lang w:val="af-ZA"/>
        </w:rPr>
        <w:t>&lt;&lt;</w:t>
      </w:r>
      <w:r w:rsidRPr="00F730B8">
        <w:rPr>
          <w:rStyle w:val="Strong"/>
          <w:rFonts w:ascii="GHEA Mariam" w:hAnsi="GHEA Mariam"/>
          <w:sz w:val="22"/>
          <w:szCs w:val="22"/>
        </w:rPr>
        <w:t>ՀԱՅԱՍՏԱՆԻ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ՀԱՆՐԱՊԵՏՈՒԹՅԱՆ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ՖԻՆԱՆՍՆԵՐԻ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ՆԱԽԱՐԱՐՈՒԹՅԱՆ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ԱՇԽԱՏԱԿԱԶՄԻ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ԼԻՑԵՆԶԱՎՈՐՄԱՆ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ՊԱՅՄԱՆՆԵՐԻ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ՊԱՀԱՆՋՆԵՐԻ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ՀՍԿՈՂՈՒԹՅԱՆ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ՏԵՍՉՈՒԹՅԱՆ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ԿՈՂՄԻՑ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ԻՐԱԿԱՆԱՑՎՈՂ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ՎԻՃԱԿԱԽԱՂԵՐԻ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, </w:t>
      </w:r>
      <w:r w:rsidRPr="00F730B8">
        <w:rPr>
          <w:rStyle w:val="Strong"/>
          <w:rFonts w:ascii="GHEA Mariam" w:hAnsi="GHEA Mariam"/>
          <w:sz w:val="22"/>
          <w:szCs w:val="22"/>
        </w:rPr>
        <w:t>ՇԱՀՈՒՄՈՎ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ԽԱՂԵՐԻ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ԽԱՂԱՏՆԵՐԻ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ԼԻՑԵՆԶԱՎՈՐՄԱՆ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ՊԱՅՄԱՆՆԵՐԻ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ՊԱՀԱՆՋՆԵՐԻ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ԿԱՏԱՐՄԱՆ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ՍՏՈՒԳԱԹԵՐԹԵՐԸ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ՀԱՍՏԱՏԵԼՈՒ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ՄԱՍԻՆ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&gt;&gt;  </w:t>
      </w:r>
      <w:r w:rsidRPr="00F730B8">
        <w:rPr>
          <w:rStyle w:val="Strong"/>
          <w:rFonts w:ascii="GHEA Mariam" w:hAnsi="GHEA Mariam"/>
          <w:sz w:val="22"/>
          <w:szCs w:val="22"/>
        </w:rPr>
        <w:t>ՀԱՅԱՍՏԱՆԻ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ՀԱՆՐԱՊԵՏՈՒԹՅԱՆ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ԿԱՌԱՎԱՐՈՒԹՅԱՆ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ՈՐՈՇՄԱՆ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ՆԱԽԱԳԾԻ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ՎԵՐԱԲԵՐՅԱԼ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ՆԱԽԱԳԾՄԱՆԸ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ԵՎ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ՔՆՆԱՐԿՄԱՆԸ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ՀԱՍԱՐԱԿՈՒԹՅԱՆ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ՄԱՍՆԱԿՑՈՒԹՅԱՆ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ՄԱՍԻՆ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ՏԵՂԵԿԱՆՔԸ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ՈՉ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ԿԻՐԱՌԵԼԻ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ԼԻՆԵԼՈՒ</w:t>
      </w:r>
      <w:r w:rsidRPr="00F730B8">
        <w:rPr>
          <w:rStyle w:val="Strong"/>
          <w:rFonts w:ascii="GHEA Mariam" w:hAnsi="GHEA Mariam"/>
          <w:sz w:val="22"/>
          <w:szCs w:val="22"/>
          <w:lang w:val="af-ZA"/>
        </w:rPr>
        <w:t xml:space="preserve"> </w:t>
      </w:r>
      <w:r w:rsidRPr="00F730B8">
        <w:rPr>
          <w:rStyle w:val="Strong"/>
          <w:rFonts w:ascii="GHEA Mariam" w:hAnsi="GHEA Mariam"/>
          <w:sz w:val="22"/>
          <w:szCs w:val="22"/>
        </w:rPr>
        <w:t>ՎԵՐԱԲԵՐՅԱԼ</w:t>
      </w:r>
    </w:p>
    <w:p w:rsidR="00F730B8" w:rsidRPr="00F730B8" w:rsidRDefault="00F730B8" w:rsidP="00F730B8">
      <w:pPr>
        <w:spacing w:line="360" w:lineRule="auto"/>
        <w:ind w:firstLine="709"/>
        <w:jc w:val="both"/>
        <w:rPr>
          <w:rFonts w:ascii="GHEA Mariam" w:hAnsi="GHEA Mariam" w:cs="Sylfaen"/>
          <w:bCs/>
          <w:iCs/>
          <w:sz w:val="22"/>
          <w:szCs w:val="22"/>
          <w:lang w:val="af-ZA"/>
        </w:rPr>
      </w:pPr>
    </w:p>
    <w:p w:rsidR="00F730B8" w:rsidRPr="00F730B8" w:rsidRDefault="00F730B8" w:rsidP="00F730B8">
      <w:pPr>
        <w:spacing w:line="360" w:lineRule="auto"/>
        <w:ind w:firstLine="709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F730B8">
        <w:rPr>
          <w:rFonts w:ascii="GHEA Mariam" w:hAnsi="GHEA Mariam" w:cs="Sylfaen"/>
          <w:bCs/>
          <w:iCs/>
          <w:sz w:val="22"/>
          <w:szCs w:val="22"/>
          <w:lang w:val="af-ZA"/>
        </w:rPr>
        <w:t xml:space="preserve">Սույն որոշման </w:t>
      </w:r>
      <w:r w:rsidRPr="00F730B8">
        <w:rPr>
          <w:rFonts w:ascii="GHEA Mariam" w:hAnsi="GHEA Mariam" w:cs="Sylfaen"/>
          <w:sz w:val="22"/>
          <w:szCs w:val="22"/>
        </w:rPr>
        <w:t>նախագծմանը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և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քննարկմանը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հասարակության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մասնակցության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մասին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տեղեկանքի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լրացման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անհրաժեշտությունը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բացակայում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է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, </w:t>
      </w:r>
      <w:r w:rsidRPr="00F730B8">
        <w:rPr>
          <w:rFonts w:ascii="GHEA Mariam" w:hAnsi="GHEA Mariam" w:cs="Sylfaen"/>
          <w:sz w:val="22"/>
          <w:szCs w:val="22"/>
        </w:rPr>
        <w:t>քանի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որ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իրավական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ակտի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նախագծմանը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և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քննարկմանը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հասարակության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մասնակցություն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չի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եղել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, </w:t>
      </w:r>
      <w:r w:rsidRPr="00F730B8">
        <w:rPr>
          <w:rFonts w:ascii="GHEA Mariam" w:hAnsi="GHEA Mariam" w:cs="Sylfaen"/>
          <w:sz w:val="22"/>
          <w:szCs w:val="22"/>
        </w:rPr>
        <w:t>քանի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որ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դրա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նպատակահարմարությունը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բացակայում</w:t>
      </w:r>
      <w:r w:rsidRPr="00F730B8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F730B8">
        <w:rPr>
          <w:rFonts w:ascii="GHEA Mariam" w:hAnsi="GHEA Mariam" w:cs="Sylfaen"/>
          <w:sz w:val="22"/>
          <w:szCs w:val="22"/>
        </w:rPr>
        <w:t>է</w:t>
      </w:r>
      <w:r w:rsidRPr="00F730B8">
        <w:rPr>
          <w:rFonts w:ascii="GHEA Mariam" w:hAnsi="GHEA Mariam" w:cs="Sylfaen"/>
          <w:sz w:val="22"/>
          <w:szCs w:val="22"/>
          <w:lang w:val="af-ZA"/>
        </w:rPr>
        <w:t>:</w:t>
      </w:r>
    </w:p>
    <w:p w:rsidR="00F730B8" w:rsidRPr="00F730B8" w:rsidRDefault="00F730B8" w:rsidP="00F730B8">
      <w:pPr>
        <w:pStyle w:val="NormalWeb"/>
        <w:spacing w:before="0" w:beforeAutospacing="0" w:after="0" w:afterAutospacing="0" w:line="360" w:lineRule="auto"/>
        <w:ind w:left="14"/>
        <w:rPr>
          <w:rStyle w:val="Strong"/>
          <w:rFonts w:ascii="GHEA Mariam" w:hAnsi="GHEA Mariam"/>
          <w:sz w:val="22"/>
          <w:szCs w:val="22"/>
          <w:lang w:val="en-US"/>
        </w:rPr>
      </w:pPr>
      <w:r w:rsidRPr="00F730B8">
        <w:rPr>
          <w:rStyle w:val="Strong"/>
          <w:rFonts w:ascii="GHEA Mariam" w:hAnsi="GHEA Mariam"/>
          <w:sz w:val="22"/>
          <w:szCs w:val="22"/>
          <w:lang w:val="af-ZA"/>
        </w:rPr>
        <w:br w:type="page"/>
      </w:r>
      <w:r w:rsidRPr="00F730B8"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>
            <wp:extent cx="6248400" cy="62769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269" t="5923" r="11389" b="37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0B8" w:rsidRPr="00F730B8" w:rsidRDefault="00F730B8" w:rsidP="00F730B8">
      <w:pPr>
        <w:spacing w:line="360" w:lineRule="auto"/>
        <w:jc w:val="center"/>
        <w:rPr>
          <w:rFonts w:ascii="GHEA Mariam" w:hAnsi="GHEA Mariam" w:cs="Sylfaen"/>
          <w:b/>
          <w:sz w:val="22"/>
          <w:szCs w:val="22"/>
        </w:rPr>
        <w:sectPr w:rsidR="00F730B8" w:rsidRPr="00F730B8" w:rsidSect="001C51B7">
          <w:pgSz w:w="11906" w:h="16838"/>
          <w:pgMar w:top="1134" w:right="567" w:bottom="168" w:left="1134" w:header="0" w:footer="0" w:gutter="0"/>
          <w:cols w:space="720"/>
          <w:docGrid w:linePitch="360"/>
        </w:sectPr>
      </w:pPr>
    </w:p>
    <w:p w:rsidR="00F730B8" w:rsidRPr="00F730B8" w:rsidRDefault="00F730B8" w:rsidP="00F730B8">
      <w:pPr>
        <w:pStyle w:val="BodyText2"/>
        <w:spacing w:line="240" w:lineRule="auto"/>
        <w:jc w:val="center"/>
        <w:rPr>
          <w:rFonts w:ascii="GHEA Mariam" w:hAnsi="GHEA Mariam"/>
          <w:b/>
          <w:spacing w:val="60"/>
          <w:sz w:val="22"/>
          <w:szCs w:val="22"/>
        </w:rPr>
      </w:pPr>
      <w:r w:rsidRPr="00F730B8">
        <w:rPr>
          <w:rFonts w:ascii="GHEA Mariam" w:hAnsi="GHEA Mariam"/>
          <w:b/>
          <w:spacing w:val="60"/>
          <w:sz w:val="22"/>
          <w:szCs w:val="22"/>
        </w:rPr>
        <w:lastRenderedPageBreak/>
        <w:t>ՏԵՂԵԿԱՆՔ</w:t>
      </w:r>
    </w:p>
    <w:p w:rsidR="00F730B8" w:rsidRPr="00F730B8" w:rsidRDefault="00F730B8" w:rsidP="00F730B8">
      <w:pPr>
        <w:pStyle w:val="BodyText2"/>
        <w:spacing w:line="240" w:lineRule="auto"/>
        <w:jc w:val="center"/>
        <w:rPr>
          <w:rFonts w:ascii="GHEA Mariam" w:hAnsi="GHEA Mariam" w:cs="Sylfaen"/>
          <w:b/>
          <w:sz w:val="22"/>
          <w:szCs w:val="22"/>
        </w:rPr>
      </w:pPr>
      <w:r w:rsidRPr="00F730B8">
        <w:rPr>
          <w:rFonts w:ascii="GHEA Mariam" w:hAnsi="GHEA Mariam"/>
          <w:b/>
          <w:sz w:val="22"/>
          <w:szCs w:val="22"/>
        </w:rPr>
        <w:t>&lt;&lt;</w:t>
      </w:r>
      <w:r w:rsidRPr="00F730B8">
        <w:rPr>
          <w:rFonts w:ascii="GHEA Mariam" w:hAnsi="GHEA Mariam" w:cs="Sylfaen"/>
          <w:b/>
          <w:sz w:val="22"/>
          <w:szCs w:val="22"/>
        </w:rPr>
        <w:t xml:space="preserve">Հայաստանի Հանրապետության ֆինանսների նախարարության աշխատակազմի լիցենզավորման պայմանների և պահանջների հսկողության տեսչության կողմից իրականացվող վիճակախաղերի, շահումով խաղերի և խաղատների լիցենզավորման պայմանների և պահանջների կատարման ստուգաթերթերը հաստատելու մասին&gt;&gt; և </w:t>
      </w:r>
      <w:r w:rsidRPr="00F730B8">
        <w:rPr>
          <w:rFonts w:ascii="GHEA Mariam" w:hAnsi="GHEA Mariam"/>
          <w:b/>
          <w:sz w:val="22"/>
          <w:szCs w:val="22"/>
        </w:rPr>
        <w:t>&lt;&lt;</w:t>
      </w:r>
      <w:r w:rsidRPr="00F730B8">
        <w:rPr>
          <w:rFonts w:ascii="GHEA Mariam" w:hAnsi="GHEA Mariam" w:cs="Sylfaen"/>
          <w:b/>
          <w:sz w:val="22"/>
          <w:szCs w:val="22"/>
        </w:rPr>
        <w:t>Հայաստանի Հանրապետության ֆինանսների նախարարության աշխատակազմի լիցենզավորման պայմանների և պահանջների հսկողության տեսչության կողմից իրականացվող ռիսկի վրա հիմնված ստուգումների մեթոդաբանությունը և ռիսկայնությունը որոշող չափանիշների ընդհանուր նկարագիրը հաստատելու մասին&gt;&gt; ՀՀ կառավարության որոշման նախագծերի (այսուհետ` Նախագծեր) կապակցությամբ ՀՀ էկոնոմիկայի և արդարադատության նախարարությունների, ինչպես նաև ՀՀ Կենտրոնական բանկի առաջարկությունների վերաբերյալ</w:t>
      </w:r>
    </w:p>
    <w:p w:rsidR="00F730B8" w:rsidRPr="00F730B8" w:rsidRDefault="00F730B8" w:rsidP="00F730B8">
      <w:pPr>
        <w:pStyle w:val="BodyText2"/>
        <w:spacing w:line="240" w:lineRule="auto"/>
        <w:jc w:val="center"/>
        <w:rPr>
          <w:rFonts w:ascii="GHEA Mariam" w:hAnsi="GHEA Mariam"/>
          <w:b/>
          <w:sz w:val="22"/>
          <w:szCs w:val="22"/>
        </w:rPr>
      </w:pPr>
    </w:p>
    <w:tbl>
      <w:tblPr>
        <w:tblW w:w="1462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6"/>
        <w:gridCol w:w="6764"/>
        <w:gridCol w:w="5120"/>
      </w:tblGrid>
      <w:tr w:rsidR="00F730B8" w:rsidRPr="00F730B8" w:rsidTr="00D74B7C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736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102" w:right="-94"/>
              <w:jc w:val="center"/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Առարկության, առաջարկության հեղինակը</w:t>
            </w:r>
          </w:p>
        </w:tc>
        <w:tc>
          <w:tcPr>
            <w:tcW w:w="6764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jc w:val="center"/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5120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97" w:right="-98"/>
              <w:jc w:val="center"/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F730B8" w:rsidRPr="00F730B8" w:rsidTr="00D74B7C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736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>ՀՀ էկոնոմիկայի նախարարություն</w:t>
            </w:r>
          </w:p>
        </w:tc>
        <w:tc>
          <w:tcPr>
            <w:tcW w:w="6764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>Համաձայն &lt;&lt;Ստուգաթերթերի մշակման և ներդրման&gt;&gt; մեթոդական ուղեցույցի ստուգաթերթի հարցաշարում &lt;&lt;այո&gt;&gt; պատասխանը նշանակում է &lt;&lt;այո առկա է, համապատասխանում է, բավարարում է&gt;&gt;, իսկ &lt;&lt;ոչ&gt;&gt; պատասխանը նշանակում է &lt;&lt;ոչ առկա չէ, չի համապատասխանում, չի բավարարում&gt;&gt;: Սա ստուգում իրականացնող պաշտոնատար անձի համար ստուգման ընթացքը դարձնում է ավելի պարզ և արդյունավետ, իսկ տնտեսավարող սուբյեկտի համար կրում է տեղեկատվական բնույթ: Հակառակ դեպքում տնտեսավարող սուբյեկտը կարող է սխալ մեկնաբանել ստուգաթերթում առկա հարցը և արդյունքում խախտել պահանջը:</w:t>
            </w:r>
          </w:p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>Ներկայացված ՀՀ կառավարության որոշման նախագծի հավելված 1-ում թիվ 20-ից 28 և հավելված 2-ում թիվ 7,13-ից 22, 29 և 30 հարցերը չեն համապատասխանում վերոգրյալին: Հետևաբար անհրաժեշտ է վերախմբագրել ներկայացված ստուգաթերթերի հարցերն այնպես, որ յուրաքանչյուր հարցի դեպքում &lt;&lt;այո&gt;&gt; պատասխանը նշանակի &lt;&lt;այո առկա է, համապատասխանում է, բավարարում է&gt;&gt;:</w:t>
            </w:r>
          </w:p>
        </w:tc>
        <w:tc>
          <w:tcPr>
            <w:tcW w:w="5120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Ընդունվել է:</w:t>
            </w:r>
          </w:p>
        </w:tc>
      </w:tr>
      <w:tr w:rsidR="00F730B8" w:rsidRPr="00F730B8" w:rsidTr="00D74B7C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2736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102" w:right="-94"/>
              <w:rPr>
                <w:rFonts w:ascii="GHEA Mariam" w:hAnsi="GHEA Mariam"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t>ՀՀ Կենտրոնական բանկ</w:t>
            </w:r>
          </w:p>
        </w:tc>
        <w:tc>
          <w:tcPr>
            <w:tcW w:w="6764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 xml:space="preserve">&lt;&lt;Հայաստանի Հանրապետության ֆինանսների նախարարության աշխատակազմի լիցենզավորման պայմանների և պահանջների հսկողության տեսչության կողմից իրականացվող վիճակախաղերի, շահումով խաղերի և խաղատների </w:t>
            </w:r>
            <w:r w:rsidRPr="00F730B8">
              <w:rPr>
                <w:rFonts w:ascii="GHEA Mariam" w:hAnsi="GHEA Mariam" w:cs="Sylfaen"/>
                <w:sz w:val="22"/>
                <w:szCs w:val="22"/>
              </w:rPr>
              <w:lastRenderedPageBreak/>
              <w:t>լիցենզավորման պայմանների և պահանջների կատարման ստուգաթերթերը հաստատելու մասին&gt;&gt; Հայաստանի Հանրապետության կառավարության որոշման նախագծի 1-ին և 2-րդ հավելվածներում նախատեսված հարցաթերթերի` փողերի լվացման և ահաբեկչության ֆինանսավորման դեմ պայքարի ոլորտի օրենսդրությանը վերաբերվող հատվածները վերանայել: Նշված հատվածների` Հայաստանի Հանրապետության Կենտրոնական բանկի կողմից առաջարկվող տարբերակը ներկայացվում է: Ընդ որում, առաջարկում ենք և վիճակախաղ, և շահումով խաղ կազմակերպող անձանց ու խաղատների կողմից փողերի լվացման և ահաբեկչության ֆինանսավորման դեմ պայքարի ոլորտի օրենսդրության պահանջների կատարման ստուգման նպատակով կիրառել միևնույն ստուգաթերտը:</w:t>
            </w:r>
          </w:p>
        </w:tc>
        <w:tc>
          <w:tcPr>
            <w:tcW w:w="5120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97" w:right="-98"/>
              <w:rPr>
                <w:rFonts w:ascii="GHEA Mariam" w:hAnsi="GHEA Mariam" w:cs="Sylfaen"/>
                <w:b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lastRenderedPageBreak/>
              <w:t xml:space="preserve">Ընդունվել է մասնակի: </w:t>
            </w:r>
          </w:p>
          <w:p w:rsidR="00F730B8" w:rsidRPr="00F730B8" w:rsidRDefault="00F730B8" w:rsidP="00D74B7C">
            <w:pPr>
              <w:pStyle w:val="BodyText2"/>
              <w:spacing w:after="0" w:line="240" w:lineRule="auto"/>
              <w:ind w:left="-97" w:right="-98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 xml:space="preserve">Համաձայն ՀՀ Կենտրոնական բանկի կողմից առաջարկվող տարբերակի Փողերի լվացման և ահաբեկչության ֆինանսավորման դեմ պայքարի </w:t>
            </w:r>
            <w:r w:rsidRPr="00F730B8">
              <w:rPr>
                <w:rFonts w:ascii="GHEA Mariam" w:hAnsi="GHEA Mariam" w:cs="Sylfaen"/>
                <w:sz w:val="22"/>
                <w:szCs w:val="22"/>
              </w:rPr>
              <w:lastRenderedPageBreak/>
              <w:t>ոլորտի օրենսդրությանը վերաբերվող հատվածները խմբագրվել են` չհանելով &lt;&lt;Եղել են արդյոք դեպքեր, երբ կազմակերպիչը կատարել է 50 միլիոն դրամը գերազանցող անշարժ գույքի հետ կապված գործարքներ, ինչի մասին հաշվետվություն չի ներկայացրել լիազոր մարմնին&gt;&gt; հարցը, քանի որ այդ պահանջը սահմանված է &lt;&lt;Փողերի լվացման և ահաբեկչության ֆինասավորման դեմ պայքարի մասին&gt;&gt; ՀՀ օրենքի 5-րդ հոդվածի 1-ին մասի 2-րդ կետով:</w:t>
            </w:r>
          </w:p>
        </w:tc>
      </w:tr>
      <w:tr w:rsidR="00F730B8" w:rsidRPr="00F730B8" w:rsidTr="00D74B7C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2736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102" w:right="-108"/>
              <w:rPr>
                <w:rFonts w:ascii="GHEA Mariam" w:hAnsi="GHEA Mariam"/>
                <w:sz w:val="22"/>
                <w:szCs w:val="22"/>
              </w:rPr>
            </w:pPr>
            <w:r w:rsidRPr="00F730B8">
              <w:rPr>
                <w:rFonts w:ascii="GHEA Mariam" w:hAnsi="GHEA Mariam"/>
                <w:sz w:val="22"/>
                <w:szCs w:val="22"/>
              </w:rPr>
              <w:lastRenderedPageBreak/>
              <w:t>ՀՀ արդարադատության նախարարություն</w:t>
            </w:r>
          </w:p>
        </w:tc>
        <w:tc>
          <w:tcPr>
            <w:tcW w:w="6764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>1. «Հայաստանի Հանրապետության ֆինանսների նախարարության աշխատակազմի լիցենզավորման պայմանների և պահանջների հսկողության տեսչության կողմից իրականացվող վիճակախաղերի, շահումով խաղերի և խաղատների լիցենզավորման պայմանների և պահանջների կատարման ստուգաթերթերը հաստատելու մասին» Հայաստանի Հանրապետության կառավարության որոշման նախագծով հաստատվող հավելվածի 1-ում «հասցեն» բառն անհրաժեշտ է փոխարինել «գտնվելու վայրը» բառերով` նկատի ունենալով Հայաստանի Հանրապետության քաղաքացիական օրենսգրքի պահանջները:</w:t>
            </w:r>
          </w:p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>Նույն դիտողությունը վերաբերում է նաև որոշման նախագծով հաստատվող հավելված 2-ին:</w:t>
            </w:r>
          </w:p>
          <w:p w:rsidR="00F730B8" w:rsidRPr="00F730B8" w:rsidRDefault="00F730B8" w:rsidP="00D74B7C">
            <w:pPr>
              <w:pStyle w:val="BodyText2"/>
              <w:spacing w:after="0" w:line="240" w:lineRule="auto"/>
              <w:ind w:left="-80" w:right="-80"/>
              <w:rPr>
                <w:rFonts w:ascii="GHEA Mariam" w:hAnsi="GHEA Mariam" w:cs="Sylfaen"/>
                <w:sz w:val="22"/>
                <w:szCs w:val="22"/>
              </w:rPr>
            </w:pPr>
            <w:r w:rsidRPr="00F730B8">
              <w:rPr>
                <w:rFonts w:ascii="GHEA Mariam" w:hAnsi="GHEA Mariam" w:cs="Sylfaen"/>
                <w:sz w:val="22"/>
                <w:szCs w:val="22"/>
              </w:rPr>
              <w:t>2. «Հայաստանի Հանրապետության ֆինանսների նախարարության աշխատակազմի լիցենզավորման պայմանների և պահանջների հսկողության տեսչության կողմից իրականացվող ռիսկի վրա հիմնված ստուգումների մեթոդաբանությունը և ռիսկայնությունը որոշող չափանիշների ընդհանուր նկարագիրը հաստատելու մասին» Հայաստանի Հանրապետության կառավարության որոշման նախագծի վերաբերյալ առաջարկություններ չունենք:</w:t>
            </w:r>
          </w:p>
        </w:tc>
        <w:tc>
          <w:tcPr>
            <w:tcW w:w="5120" w:type="dxa"/>
          </w:tcPr>
          <w:p w:rsidR="00F730B8" w:rsidRPr="00F730B8" w:rsidRDefault="00F730B8" w:rsidP="00D74B7C">
            <w:pPr>
              <w:pStyle w:val="BodyText2"/>
              <w:spacing w:after="0" w:line="240" w:lineRule="auto"/>
              <w:ind w:left="-97" w:right="-98"/>
              <w:rPr>
                <w:rFonts w:ascii="GHEA Mariam" w:hAnsi="GHEA Mariam" w:cs="Sylfaen"/>
                <w:bCs/>
                <w:i/>
                <w:iCs/>
                <w:sz w:val="22"/>
                <w:szCs w:val="22"/>
                <w:u w:val="single"/>
              </w:rPr>
            </w:pPr>
            <w:r w:rsidRPr="00F730B8">
              <w:rPr>
                <w:rFonts w:ascii="GHEA Mariam" w:hAnsi="GHEA Mariam" w:cs="Sylfaen"/>
                <w:b/>
                <w:sz w:val="22"/>
                <w:szCs w:val="22"/>
              </w:rPr>
              <w:t>Ընդունվել է:</w:t>
            </w:r>
          </w:p>
        </w:tc>
      </w:tr>
    </w:tbl>
    <w:p w:rsidR="00F730B8" w:rsidRPr="00F730B8" w:rsidRDefault="00F730B8" w:rsidP="00F730B8">
      <w:pPr>
        <w:rPr>
          <w:rFonts w:ascii="GHEA Mariam" w:hAnsi="GHEA Mariam"/>
          <w:sz w:val="22"/>
          <w:szCs w:val="22"/>
        </w:rPr>
      </w:pPr>
    </w:p>
    <w:p w:rsidR="00F730B8" w:rsidRPr="00F730B8" w:rsidRDefault="00F730B8" w:rsidP="00F730B8">
      <w:pPr>
        <w:rPr>
          <w:rFonts w:ascii="GHEA Mariam" w:hAnsi="GHEA Mariam" w:cs="Sylfaen"/>
          <w:b/>
          <w:sz w:val="22"/>
          <w:szCs w:val="22"/>
        </w:rPr>
      </w:pPr>
    </w:p>
    <w:p w:rsidR="00427EFC" w:rsidRPr="00F730B8" w:rsidRDefault="00427EFC" w:rsidP="00F730B8">
      <w:pPr>
        <w:rPr>
          <w:sz w:val="22"/>
          <w:szCs w:val="22"/>
        </w:rPr>
      </w:pPr>
    </w:p>
    <w:sectPr w:rsidR="00427EFC" w:rsidRPr="00F730B8" w:rsidSect="00DE043A">
      <w:pgSz w:w="15840" w:h="12240" w:orient="landscape" w:code="1"/>
      <w:pgMar w:top="567" w:right="1134" w:bottom="39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588"/>
    <w:multiLevelType w:val="hybridMultilevel"/>
    <w:tmpl w:val="09DE0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F2333"/>
    <w:multiLevelType w:val="hybridMultilevel"/>
    <w:tmpl w:val="D4D8FAB6"/>
    <w:lvl w:ilvl="0" w:tplc="63B0E588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0B5B46B3"/>
    <w:multiLevelType w:val="multilevel"/>
    <w:tmpl w:val="D4D8FAB6"/>
    <w:lvl w:ilvl="0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">
    <w:nsid w:val="113A057A"/>
    <w:multiLevelType w:val="hybridMultilevel"/>
    <w:tmpl w:val="899C85FC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>
    <w:nsid w:val="163A72CB"/>
    <w:multiLevelType w:val="hybridMultilevel"/>
    <w:tmpl w:val="64F48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F5ED7"/>
    <w:multiLevelType w:val="multilevel"/>
    <w:tmpl w:val="497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6433F"/>
    <w:multiLevelType w:val="hybridMultilevel"/>
    <w:tmpl w:val="E49CEAB2"/>
    <w:lvl w:ilvl="0" w:tplc="E966A5F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F10DE9"/>
    <w:multiLevelType w:val="multilevel"/>
    <w:tmpl w:val="124A0B44"/>
    <w:lvl w:ilvl="0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8">
    <w:nsid w:val="23F22ED5"/>
    <w:multiLevelType w:val="multilevel"/>
    <w:tmpl w:val="B1BE5CB0"/>
    <w:lvl w:ilvl="0">
      <w:start w:val="1"/>
      <w:numFmt w:val="decimal"/>
      <w:lvlText w:val="%1.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9">
    <w:nsid w:val="28520B3D"/>
    <w:multiLevelType w:val="hybridMultilevel"/>
    <w:tmpl w:val="0EA0666E"/>
    <w:lvl w:ilvl="0" w:tplc="203E413C">
      <w:start w:val="1"/>
      <w:numFmt w:val="decimal"/>
      <w:lvlText w:val="%1."/>
      <w:lvlJc w:val="left"/>
      <w:pPr>
        <w:tabs>
          <w:tab w:val="num" w:pos="1686"/>
        </w:tabs>
        <w:ind w:left="1686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2AA00084"/>
    <w:multiLevelType w:val="hybridMultilevel"/>
    <w:tmpl w:val="9DBA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2A79D4"/>
    <w:multiLevelType w:val="multilevel"/>
    <w:tmpl w:val="9B16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BE74D8"/>
    <w:multiLevelType w:val="hybridMultilevel"/>
    <w:tmpl w:val="9B164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43E95"/>
    <w:multiLevelType w:val="hybridMultilevel"/>
    <w:tmpl w:val="4182AE74"/>
    <w:lvl w:ilvl="0" w:tplc="0409000F">
      <w:start w:val="1"/>
      <w:numFmt w:val="decimal"/>
      <w:lvlText w:val="%1."/>
      <w:lvlJc w:val="left"/>
      <w:pPr>
        <w:tabs>
          <w:tab w:val="num" w:pos="1370"/>
        </w:tabs>
        <w:ind w:left="13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90"/>
        </w:tabs>
        <w:ind w:left="2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10"/>
        </w:tabs>
        <w:ind w:left="2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30"/>
        </w:tabs>
        <w:ind w:left="3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50"/>
        </w:tabs>
        <w:ind w:left="4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70"/>
        </w:tabs>
        <w:ind w:left="4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90"/>
        </w:tabs>
        <w:ind w:left="5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10"/>
        </w:tabs>
        <w:ind w:left="6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30"/>
        </w:tabs>
        <w:ind w:left="7130" w:hanging="180"/>
      </w:pPr>
    </w:lvl>
  </w:abstractNum>
  <w:abstractNum w:abstractNumId="14">
    <w:nsid w:val="371B4ABF"/>
    <w:multiLevelType w:val="hybridMultilevel"/>
    <w:tmpl w:val="95F8D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513A9"/>
    <w:multiLevelType w:val="hybridMultilevel"/>
    <w:tmpl w:val="99B2D386"/>
    <w:lvl w:ilvl="0" w:tplc="C75CB468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D8153F"/>
    <w:multiLevelType w:val="multilevel"/>
    <w:tmpl w:val="BF10829C"/>
    <w:lvl w:ilvl="0">
      <w:start w:val="1"/>
      <w:numFmt w:val="decimal"/>
      <w:lvlText w:val="%1.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E3C68"/>
    <w:multiLevelType w:val="multilevel"/>
    <w:tmpl w:val="4978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FF0063"/>
    <w:multiLevelType w:val="hybridMultilevel"/>
    <w:tmpl w:val="1E6A436E"/>
    <w:lvl w:ilvl="0" w:tplc="F64E995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D67FC3"/>
    <w:multiLevelType w:val="hybridMultilevel"/>
    <w:tmpl w:val="49780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F07C2"/>
    <w:multiLevelType w:val="multilevel"/>
    <w:tmpl w:val="5784EC84"/>
    <w:lvl w:ilvl="0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6B26E0"/>
    <w:multiLevelType w:val="hybridMultilevel"/>
    <w:tmpl w:val="5784EC84"/>
    <w:lvl w:ilvl="0" w:tplc="63B0E588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9"/>
  </w:num>
  <w:num w:numId="5">
    <w:abstractNumId w:val="17"/>
  </w:num>
  <w:num w:numId="6">
    <w:abstractNumId w:val="4"/>
  </w:num>
  <w:num w:numId="7">
    <w:abstractNumId w:val="5"/>
  </w:num>
  <w:num w:numId="8">
    <w:abstractNumId w:val="14"/>
  </w:num>
  <w:num w:numId="9">
    <w:abstractNumId w:val="13"/>
  </w:num>
  <w:num w:numId="10">
    <w:abstractNumId w:val="3"/>
  </w:num>
  <w:num w:numId="11">
    <w:abstractNumId w:val="1"/>
  </w:num>
  <w:num w:numId="12">
    <w:abstractNumId w:val="7"/>
  </w:num>
  <w:num w:numId="13">
    <w:abstractNumId w:val="9"/>
  </w:num>
  <w:num w:numId="14">
    <w:abstractNumId w:val="8"/>
  </w:num>
  <w:num w:numId="15">
    <w:abstractNumId w:val="2"/>
  </w:num>
  <w:num w:numId="16">
    <w:abstractNumId w:val="21"/>
  </w:num>
  <w:num w:numId="17">
    <w:abstractNumId w:val="20"/>
  </w:num>
  <w:num w:numId="18">
    <w:abstractNumId w:val="15"/>
  </w:num>
  <w:num w:numId="19">
    <w:abstractNumId w:val="16"/>
  </w:num>
  <w:num w:numId="20">
    <w:abstractNumId w:val="10"/>
  </w:num>
  <w:num w:numId="21">
    <w:abstractNumId w:val="6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0E3A"/>
    <w:rsid w:val="0028645F"/>
    <w:rsid w:val="003A1DC8"/>
    <w:rsid w:val="00427EFC"/>
    <w:rsid w:val="005B0E3A"/>
    <w:rsid w:val="00F7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F730B8"/>
    <w:pPr>
      <w:ind w:righ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F730B8"/>
    <w:pPr>
      <w:overflowPunct/>
      <w:autoSpaceDE/>
      <w:autoSpaceDN/>
      <w:adjustRightInd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F730B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F730B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F730B8"/>
    <w:rPr>
      <w:b/>
      <w:bCs/>
    </w:rPr>
  </w:style>
  <w:style w:type="paragraph" w:styleId="BodyTextIndent3">
    <w:name w:val="Body Text Indent 3"/>
    <w:basedOn w:val="Normal"/>
    <w:link w:val="BodyTextIndent3Char"/>
    <w:rsid w:val="00F730B8"/>
    <w:pPr>
      <w:overflowPunct/>
      <w:autoSpaceDE/>
      <w:autoSpaceDN/>
      <w:adjustRightInd/>
      <w:spacing w:line="360" w:lineRule="auto"/>
      <w:ind w:firstLine="600"/>
      <w:jc w:val="both"/>
    </w:pPr>
    <w:rPr>
      <w:rFonts w:ascii="Times Armenian" w:hAnsi="Times Armenian"/>
      <w:shadow/>
      <w:sz w:val="24"/>
      <w:szCs w:val="32"/>
      <w:lang w:val="hy-AM"/>
    </w:rPr>
  </w:style>
  <w:style w:type="character" w:customStyle="1" w:styleId="BodyTextIndent3Char">
    <w:name w:val="Body Text Indent 3 Char"/>
    <w:basedOn w:val="DefaultParagraphFont"/>
    <w:link w:val="BodyTextIndent3"/>
    <w:rsid w:val="00F730B8"/>
    <w:rPr>
      <w:rFonts w:ascii="Times Armenian" w:eastAsia="Times New Roman" w:hAnsi="Times Armenian" w:cs="Times New Roman"/>
      <w:shadow/>
      <w:sz w:val="24"/>
      <w:szCs w:val="32"/>
      <w:lang w:val="hy-AM"/>
    </w:rPr>
  </w:style>
  <w:style w:type="paragraph" w:styleId="Title">
    <w:name w:val="Title"/>
    <w:basedOn w:val="Normal"/>
    <w:link w:val="TitleChar"/>
    <w:qFormat/>
    <w:rsid w:val="00F730B8"/>
    <w:pPr>
      <w:overflowPunct/>
      <w:autoSpaceDE/>
      <w:autoSpaceDN/>
      <w:adjustRightInd/>
      <w:spacing w:line="360" w:lineRule="auto"/>
      <w:jc w:val="center"/>
    </w:pPr>
    <w:rPr>
      <w:rFonts w:ascii="Times Armenian" w:hAnsi="Times Armenian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730B8"/>
    <w:rPr>
      <w:rFonts w:ascii="Times Armenian" w:eastAsia="Times New Roman" w:hAnsi="Times Armenian" w:cs="Times New Roman"/>
      <w:sz w:val="28"/>
      <w:szCs w:val="24"/>
    </w:rPr>
  </w:style>
  <w:style w:type="paragraph" w:styleId="BodyText">
    <w:name w:val="Body Text"/>
    <w:basedOn w:val="Normal"/>
    <w:link w:val="BodyTextChar"/>
    <w:rsid w:val="00F730B8"/>
    <w:pPr>
      <w:overflowPunct/>
      <w:autoSpaceDE/>
      <w:autoSpaceDN/>
      <w:adjustRightInd/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730B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730B8"/>
    <w:rPr>
      <w:rFonts w:ascii="Arial" w:hAnsi="Arial" w:cs="Arial" w:hint="default"/>
      <w:b w:val="0"/>
      <w:bCs w:val="0"/>
      <w:strike w:val="0"/>
      <w:dstrike w:val="0"/>
      <w:color w:val="6D6D6D"/>
      <w:sz w:val="13"/>
      <w:szCs w:val="13"/>
      <w:u w:val="single"/>
      <w:effect w:val="none"/>
    </w:rPr>
  </w:style>
  <w:style w:type="paragraph" w:styleId="ListParagraph">
    <w:name w:val="List Paragraph"/>
    <w:basedOn w:val="Normal"/>
    <w:qFormat/>
    <w:rsid w:val="00F730B8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semiHidden/>
    <w:rsid w:val="00F730B8"/>
    <w:pPr>
      <w:overflowPunct/>
      <w:autoSpaceDE/>
      <w:autoSpaceDN/>
      <w:adjustRightInd/>
      <w:spacing w:after="200"/>
    </w:pPr>
    <w:rPr>
      <w:rFonts w:ascii="Calibri" w:hAnsi="Calibri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730B8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30B8"/>
    <w:rPr>
      <w:b/>
      <w:bCs/>
    </w:rPr>
  </w:style>
  <w:style w:type="paragraph" w:styleId="BodyText2">
    <w:name w:val="Body Text 2"/>
    <w:basedOn w:val="Normal"/>
    <w:link w:val="BodyText2Char"/>
    <w:rsid w:val="00F730B8"/>
    <w:pPr>
      <w:overflowPunct/>
      <w:autoSpaceDE/>
      <w:autoSpaceDN/>
      <w:adjustRightInd/>
      <w:spacing w:after="120" w:line="480" w:lineRule="auto"/>
    </w:pPr>
    <w:rPr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730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4793</Words>
  <Characters>27321</Characters>
  <Application>Microsoft Office Word</Application>
  <DocSecurity>0</DocSecurity>
  <Lines>227</Lines>
  <Paragraphs>64</Paragraphs>
  <ScaleCrop>false</ScaleCrop>
  <Company>Compass</Company>
  <LinksUpToDate>false</LinksUpToDate>
  <CharactersWithSpaces>32050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4</cp:revision>
  <dcterms:created xsi:type="dcterms:W3CDTF">2011-12-22T08:25:00Z</dcterms:created>
  <dcterms:modified xsi:type="dcterms:W3CDTF">2011-12-22T11:24:00Z</dcterms:modified>
</cp:coreProperties>
</file>