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75C" w:rsidRDefault="001653A0" w:rsidP="00FD0F13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5F7328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ՀԻՄՆԱՎՈՐՈՒՄ</w:t>
      </w:r>
    </w:p>
    <w:p w:rsidR="002679A9" w:rsidRPr="002679A9" w:rsidRDefault="002679A9" w:rsidP="002679A9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2679A9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ՀԱՅԱՍՏԱՆԻ ՀԱՆՐԱՊԵՏՈՒԹՅԱՆ ՀԱՐԿԱՅԻՆ ՕՐԵՆՍԳՐՔՈՒՄ ԼՐԱՑՈՒՄ ԿԱՏԱՐԵԼՈՒ ՄԱՍԻՆ</w:t>
      </w:r>
    </w:p>
    <w:p w:rsidR="00533A00" w:rsidRDefault="002679A9" w:rsidP="002679A9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2679A9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ՀԱՅԱՍՏԱՆԻ ՀԱՆՐԱՊԵՏՈՒԹՅԱՆ ՕՐԵՆՔԻ</w:t>
      </w:r>
    </w:p>
    <w:p w:rsidR="002679A9" w:rsidRDefault="002679A9" w:rsidP="002679A9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ՆԱԽԱԳԾԻ</w:t>
      </w:r>
    </w:p>
    <w:p w:rsidR="0019775C" w:rsidRPr="005F7328" w:rsidRDefault="0019775C" w:rsidP="00FD0F13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/>
        </w:rPr>
      </w:pPr>
    </w:p>
    <w:p w:rsidR="006E0621" w:rsidRPr="00F609D0" w:rsidRDefault="006E0621" w:rsidP="00F609D0">
      <w:pPr>
        <w:pStyle w:val="NormalWeb"/>
        <w:spacing w:before="0" w:beforeAutospacing="0" w:after="0" w:afterAutospacing="0"/>
        <w:ind w:left="720"/>
        <w:rPr>
          <w:rFonts w:ascii="GHEA Grapalat" w:hAnsi="GHEA Grapalat" w:cs="Arial"/>
          <w:u w:val="single"/>
          <w:lang w:val="hy-AM"/>
        </w:rPr>
      </w:pPr>
      <w:r w:rsidRPr="005F7328">
        <w:rPr>
          <w:rFonts w:ascii="GHEA Grapalat" w:hAnsi="GHEA Grapalat" w:cs="Arial"/>
          <w:b/>
          <w:color w:val="000000"/>
          <w:u w:val="single"/>
          <w:lang w:val="hy-AM"/>
        </w:rPr>
        <w:t>1. Ընթացիկ իրավիճակը և իրավական ակտի ընդունման անհրաժեշտությունը</w:t>
      </w:r>
    </w:p>
    <w:p w:rsidR="006E0621" w:rsidRDefault="006E0621" w:rsidP="00E61D67">
      <w:pPr>
        <w:ind w:firstLine="708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F609D0">
        <w:rPr>
          <w:rFonts w:ascii="GHEA Grapalat" w:eastAsia="Arial Unicode MS" w:hAnsi="GHEA Grapalat" w:cs="Arial Unicode MS"/>
          <w:sz w:val="24"/>
          <w:szCs w:val="24"/>
          <w:lang w:val="hy-AM"/>
        </w:rPr>
        <w:t>Հայա</w:t>
      </w:r>
      <w:r w:rsidRPr="005F7328">
        <w:rPr>
          <w:rFonts w:ascii="GHEA Grapalat" w:eastAsia="Arial Unicode MS" w:hAnsi="GHEA Grapalat" w:cs="Arial Unicode MS"/>
          <w:sz w:val="24"/>
          <w:szCs w:val="24"/>
          <w:lang w:val="af-ZA"/>
        </w:rPr>
        <w:t>u</w:t>
      </w:r>
      <w:r w:rsidRPr="00F609D0">
        <w:rPr>
          <w:rFonts w:ascii="GHEA Grapalat" w:eastAsia="Arial Unicode MS" w:hAnsi="GHEA Grapalat" w:cs="Arial Unicode MS"/>
          <w:sz w:val="24"/>
          <w:szCs w:val="24"/>
          <w:lang w:val="hy-AM"/>
        </w:rPr>
        <w:t>տանի</w:t>
      </w:r>
      <w:r w:rsidRPr="005F7328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F609D0">
        <w:rPr>
          <w:rFonts w:ascii="GHEA Grapalat" w:eastAsia="Arial Unicode MS" w:hAnsi="GHEA Grapalat" w:cs="Arial Unicode MS"/>
          <w:sz w:val="24"/>
          <w:szCs w:val="24"/>
          <w:lang w:val="hy-AM"/>
        </w:rPr>
        <w:t>Հանրապետության</w:t>
      </w:r>
      <w:r w:rsidRPr="005F7328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F609D0">
        <w:rPr>
          <w:rFonts w:ascii="GHEA Grapalat" w:eastAsia="Arial Unicode MS" w:hAnsi="GHEA Grapalat" w:cs="Arial Unicode MS"/>
          <w:sz w:val="24"/>
          <w:szCs w:val="24"/>
          <w:lang w:val="hy-AM"/>
        </w:rPr>
        <w:t>հարկային օրենսգրքում</w:t>
      </w:r>
      <w:r w:rsidRPr="005F7328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F609D0" w:rsidRPr="00F609D0">
        <w:rPr>
          <w:rFonts w:ascii="GHEA Grapalat" w:eastAsia="Arial Unicode MS" w:hAnsi="GHEA Grapalat" w:cs="Arial Unicode MS"/>
          <w:sz w:val="24"/>
          <w:szCs w:val="24"/>
          <w:lang w:val="hy-AM"/>
        </w:rPr>
        <w:t>(</w:t>
      </w:r>
      <w:r w:rsidRPr="00F609D0">
        <w:rPr>
          <w:rFonts w:ascii="GHEA Grapalat" w:eastAsia="Arial Unicode MS" w:hAnsi="GHEA Grapalat" w:cs="Arial Unicode MS"/>
          <w:sz w:val="24"/>
          <w:szCs w:val="24"/>
          <w:lang w:val="hy-AM"/>
        </w:rPr>
        <w:t>Հ</w:t>
      </w:r>
      <w:r w:rsidR="00F609D0">
        <w:rPr>
          <w:rFonts w:ascii="GHEA Grapalat" w:eastAsia="Arial Unicode MS" w:hAnsi="GHEA Grapalat" w:cs="Arial Unicode MS"/>
          <w:sz w:val="24"/>
          <w:szCs w:val="24"/>
          <w:lang w:val="af-ZA"/>
        </w:rPr>
        <w:t>O-165)</w:t>
      </w:r>
      <w:r w:rsidRPr="005F7328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150E05">
        <w:rPr>
          <w:rFonts w:ascii="GHEA Grapalat" w:eastAsia="Arial Unicode MS" w:hAnsi="GHEA Grapalat" w:cs="Arial Unicode MS"/>
          <w:sz w:val="24"/>
          <w:szCs w:val="24"/>
          <w:lang w:val="hy-AM"/>
        </w:rPr>
        <w:t>լրացում</w:t>
      </w:r>
      <w:r w:rsidRPr="005F7328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F609D0">
        <w:rPr>
          <w:rFonts w:ascii="GHEA Grapalat" w:eastAsia="Arial Unicode MS" w:hAnsi="GHEA Grapalat" w:cs="Arial Unicode MS"/>
          <w:sz w:val="24"/>
          <w:szCs w:val="24"/>
          <w:lang w:val="hy-AM"/>
        </w:rPr>
        <w:t>կատարելու</w:t>
      </w:r>
      <w:r w:rsidRPr="005F7328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F609D0">
        <w:rPr>
          <w:rFonts w:ascii="GHEA Grapalat" w:eastAsia="Arial Unicode MS" w:hAnsi="GHEA Grapalat" w:cs="Arial Unicode MS"/>
          <w:sz w:val="24"/>
          <w:szCs w:val="24"/>
          <w:lang w:val="hy-AM"/>
        </w:rPr>
        <w:t>անհրաժեշտություն</w:t>
      </w:r>
      <w:r w:rsidR="001704E8">
        <w:rPr>
          <w:rFonts w:ascii="GHEA Grapalat" w:eastAsia="Arial Unicode MS" w:hAnsi="GHEA Grapalat" w:cs="Arial Unicode MS"/>
          <w:sz w:val="24"/>
          <w:szCs w:val="24"/>
          <w:lang w:val="hy-AM"/>
        </w:rPr>
        <w:t>ը պայմանավորված է</w:t>
      </w:r>
      <w:r w:rsidRPr="005F7328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="00150E05" w:rsidRPr="00150E05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օդի </w:t>
      </w:r>
      <w:r w:rsidR="00150E05">
        <w:rPr>
          <w:rFonts w:ascii="GHEA Grapalat" w:eastAsia="Arial Unicode MS" w:hAnsi="GHEA Grapalat" w:cs="Arial Unicode MS"/>
          <w:sz w:val="24"/>
          <w:szCs w:val="24"/>
          <w:lang w:val="af-ZA"/>
        </w:rPr>
        <w:t>աղտ</w:t>
      </w:r>
      <w:r w:rsidR="00150E05" w:rsidRPr="00150E05">
        <w:rPr>
          <w:rFonts w:ascii="GHEA Grapalat" w:eastAsia="Arial Unicode MS" w:hAnsi="GHEA Grapalat" w:cs="Arial Unicode MS"/>
          <w:sz w:val="24"/>
          <w:szCs w:val="24"/>
          <w:lang w:val="af-ZA"/>
        </w:rPr>
        <w:t>ո</w:t>
      </w:r>
      <w:r w:rsidR="00150E05">
        <w:rPr>
          <w:rFonts w:ascii="GHEA Grapalat" w:eastAsia="Arial Unicode MS" w:hAnsi="GHEA Grapalat" w:cs="Arial Unicode MS"/>
          <w:sz w:val="24"/>
          <w:szCs w:val="24"/>
          <w:lang w:val="hy-AM"/>
        </w:rPr>
        <w:t>տ</w:t>
      </w:r>
      <w:r w:rsidR="00150E05" w:rsidRPr="00150E05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վածության </w:t>
      </w:r>
      <w:r w:rsidR="00150E05">
        <w:rPr>
          <w:rFonts w:ascii="GHEA Grapalat" w:eastAsia="Arial Unicode MS" w:hAnsi="GHEA Grapalat" w:cs="Arial Unicode MS"/>
          <w:sz w:val="24"/>
          <w:szCs w:val="24"/>
          <w:lang w:val="hy-AM"/>
        </w:rPr>
        <w:t>նվազեցման</w:t>
      </w:r>
      <w:r w:rsidR="001704E8">
        <w:rPr>
          <w:rFonts w:ascii="GHEA Grapalat" w:eastAsia="Arial Unicode MS" w:hAnsi="GHEA Grapalat" w:cs="Arial Unicode MS"/>
          <w:sz w:val="24"/>
          <w:szCs w:val="24"/>
          <w:lang w:val="hy-AM"/>
        </w:rPr>
        <w:t>ն ուղղված</w:t>
      </w:r>
      <w:r w:rsidR="00150E0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1704E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էլեկտրական շարժիչով տրանսպորտային միջոցների </w:t>
      </w:r>
      <w:r w:rsidR="00150E05">
        <w:rPr>
          <w:rFonts w:ascii="GHEA Grapalat" w:eastAsia="Arial Unicode MS" w:hAnsi="GHEA Grapalat" w:cs="Arial Unicode MS"/>
          <w:sz w:val="24"/>
          <w:szCs w:val="24"/>
          <w:lang w:val="hy-AM"/>
        </w:rPr>
        <w:t>կիրառում</w:t>
      </w:r>
      <w:r w:rsidR="001704E8">
        <w:rPr>
          <w:rFonts w:ascii="GHEA Grapalat" w:eastAsia="Arial Unicode MS" w:hAnsi="GHEA Grapalat" w:cs="Arial Unicode MS"/>
          <w:sz w:val="24"/>
          <w:szCs w:val="24"/>
          <w:lang w:val="hy-AM"/>
        </w:rPr>
        <w:t>ը</w:t>
      </w:r>
      <w:r w:rsidR="00150E0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150E05" w:rsidRPr="00150E05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խթանելու </w:t>
      </w:r>
      <w:r w:rsidR="00150E05">
        <w:rPr>
          <w:rFonts w:ascii="GHEA Grapalat" w:eastAsia="Arial Unicode MS" w:hAnsi="GHEA Grapalat" w:cs="Arial Unicode MS"/>
          <w:sz w:val="24"/>
          <w:szCs w:val="24"/>
          <w:lang w:val="hy-AM"/>
        </w:rPr>
        <w:t>հետ։</w:t>
      </w:r>
      <w:r w:rsidR="00D2701E" w:rsidRPr="00D2701E">
        <w:rPr>
          <w:lang w:val="hy-AM"/>
        </w:rPr>
        <w:t xml:space="preserve"> </w:t>
      </w:r>
      <w:r w:rsidR="00D2701E" w:rsidRPr="00D2701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Աշխարհում </w:t>
      </w:r>
      <w:r w:rsidR="00E61D67">
        <w:rPr>
          <w:rFonts w:ascii="GHEA Grapalat" w:eastAsia="Arial Unicode MS" w:hAnsi="GHEA Grapalat" w:cs="Arial Unicode MS"/>
          <w:sz w:val="24"/>
          <w:szCs w:val="24"/>
          <w:lang w:val="hy-AM"/>
        </w:rPr>
        <w:t>էլեկտրամոբիլների</w:t>
      </w:r>
      <w:r w:rsidR="00D2701E" w:rsidRPr="00D2701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օգտագործումն արագ տեմպերով ավելանում է՝ </w:t>
      </w:r>
      <w:r w:rsidR="00E61D67">
        <w:rPr>
          <w:rFonts w:ascii="GHEA Grapalat" w:eastAsia="Arial Unicode MS" w:hAnsi="GHEA Grapalat" w:cs="Arial Unicode MS"/>
          <w:sz w:val="24"/>
          <w:szCs w:val="24"/>
          <w:lang w:val="hy-AM"/>
        </w:rPr>
        <w:t>պայմանավորված</w:t>
      </w:r>
      <w:r w:rsidR="00D2701E" w:rsidRPr="00D2701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ինչպես</w:t>
      </w:r>
      <w:r w:rsidR="00D2701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D2701E" w:rsidRPr="00D2701E">
        <w:rPr>
          <w:rFonts w:ascii="GHEA Grapalat" w:eastAsia="Arial Unicode MS" w:hAnsi="GHEA Grapalat" w:cs="Arial Unicode MS"/>
          <w:sz w:val="24"/>
          <w:szCs w:val="24"/>
          <w:lang w:val="hy-AM"/>
        </w:rPr>
        <w:t>դրանց բազմազանության ավելացմամբ, այնպես էլ տարատեսակ պետական արտոնությունների և էկոլոգիական համեմատական անվտանգության հետ։</w:t>
      </w:r>
    </w:p>
    <w:p w:rsidR="001704E8" w:rsidRDefault="0022778E" w:rsidP="004E2F0B">
      <w:pPr>
        <w:ind w:firstLine="708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22778E">
        <w:rPr>
          <w:rFonts w:ascii="GHEA Grapalat" w:eastAsia="Arial Unicode MS" w:hAnsi="GHEA Grapalat" w:cs="Arial Unicode MS"/>
          <w:sz w:val="24"/>
          <w:szCs w:val="24"/>
          <w:lang w:val="hy-AM"/>
        </w:rPr>
        <w:t>Հայաստանում հիբրիդային և էլեկտրականությամբ սնուցվող շարժիչներով աշխատող</w:t>
      </w:r>
      <w:r w:rsidR="004E2F0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22778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ավտոտրանսպորտային միջոցների համար բնապահպանական հարկի գծով սահմանված </w:t>
      </w:r>
      <w:r w:rsidR="004E2F0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է </w:t>
      </w:r>
      <w:r w:rsidRPr="0022778E">
        <w:rPr>
          <w:rFonts w:ascii="GHEA Grapalat" w:eastAsia="Arial Unicode MS" w:hAnsi="GHEA Grapalat" w:cs="Arial Unicode MS"/>
          <w:sz w:val="24"/>
          <w:szCs w:val="24"/>
          <w:lang w:val="hy-AM"/>
        </w:rPr>
        <w:t>արտոնություն։ ՀՀ հարկային օրենսգրքի 172-րդ հոդվածի 1-ին մասի 2-րդ</w:t>
      </w:r>
      <w:r w:rsidR="004E2F0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22778E">
        <w:rPr>
          <w:rFonts w:ascii="GHEA Grapalat" w:eastAsia="Arial Unicode MS" w:hAnsi="GHEA Grapalat" w:cs="Arial Unicode MS"/>
          <w:sz w:val="24"/>
          <w:szCs w:val="24"/>
          <w:lang w:val="hy-AM"/>
        </w:rPr>
        <w:t>կետի համաձայն՝ հիբրիդային և էլեկտրականությամբ սնուցվող շարժիչներով աշխատող</w:t>
      </w:r>
      <w:r w:rsidR="004E2F0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22778E">
        <w:rPr>
          <w:rFonts w:ascii="GHEA Grapalat" w:eastAsia="Arial Unicode MS" w:hAnsi="GHEA Grapalat" w:cs="Arial Unicode MS"/>
          <w:sz w:val="24"/>
          <w:szCs w:val="24"/>
          <w:lang w:val="hy-AM"/>
        </w:rPr>
        <w:t>ավտոտրանսպորտային միջոցների համար բնապահպանական հարկ վճարողները, այդ</w:t>
      </w:r>
      <w:r w:rsidR="004E2F0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22778E">
        <w:rPr>
          <w:rFonts w:ascii="GHEA Grapalat" w:eastAsia="Arial Unicode MS" w:hAnsi="GHEA Grapalat" w:cs="Arial Unicode MS"/>
          <w:sz w:val="24"/>
          <w:szCs w:val="24"/>
          <w:lang w:val="hy-AM"/>
        </w:rPr>
        <w:t>ավտոտրանսպորտային միջոցների մասով, ազատվում են մթնոլորտային օդ վնասակարն</w:t>
      </w:r>
      <w:r w:rsidR="004E2F0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1704E8">
        <w:rPr>
          <w:rFonts w:ascii="GHEA Grapalat" w:eastAsia="Arial Unicode MS" w:hAnsi="GHEA Grapalat" w:cs="Arial Unicode MS"/>
          <w:sz w:val="24"/>
          <w:szCs w:val="24"/>
          <w:lang w:val="hy-AM"/>
        </w:rPr>
        <w:t>ն</w:t>
      </w:r>
      <w:r w:rsidRPr="0022778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յութեր արտանետելու համար բնապահպանական հարկից։ Իսկ Երևան քաղաքի ավագանու 2017 թվականի փետրվարի 14-ի </w:t>
      </w:r>
      <w:r w:rsidR="004E2F0B" w:rsidRPr="004E2F0B">
        <w:rPr>
          <w:rFonts w:ascii="GHEA Grapalat" w:eastAsia="Arial Unicode MS" w:hAnsi="GHEA Grapalat" w:cs="Arial Unicode MS"/>
          <w:sz w:val="24"/>
          <w:szCs w:val="24"/>
          <w:lang w:val="hy-AM"/>
        </w:rPr>
        <w:t>N</w:t>
      </w:r>
      <w:r w:rsidRPr="0022778E">
        <w:rPr>
          <w:rFonts w:ascii="GHEA Grapalat" w:eastAsia="Arial Unicode MS" w:hAnsi="GHEA Grapalat" w:cs="Arial Unicode MS"/>
          <w:sz w:val="24"/>
          <w:szCs w:val="24"/>
          <w:lang w:val="hy-AM"/>
        </w:rPr>
        <w:t>675-Ն որոշմամբ՝ որպես վառելիք բացառապես</w:t>
      </w:r>
      <w:r w:rsidR="004E2F0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22778E">
        <w:rPr>
          <w:rFonts w:ascii="GHEA Grapalat" w:eastAsia="Arial Unicode MS" w:hAnsi="GHEA Grapalat" w:cs="Arial Unicode MS"/>
          <w:sz w:val="24"/>
          <w:szCs w:val="24"/>
          <w:lang w:val="hy-AM"/>
        </w:rPr>
        <w:t>էլեկտրաէներգիա օգտագործող և բացառապես էլեկտրական շարժիչով աշխատող ավտոտրանսպորտային միջոցի սեփականատերերին տրամադրվել է արտոնություն՝ ազատելով</w:t>
      </w:r>
      <w:r w:rsidR="004E2F0B" w:rsidRPr="004E2F0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22778E">
        <w:rPr>
          <w:rFonts w:ascii="GHEA Grapalat" w:eastAsia="Arial Unicode MS" w:hAnsi="GHEA Grapalat" w:cs="Arial Unicode MS"/>
          <w:sz w:val="24"/>
          <w:szCs w:val="24"/>
          <w:lang w:val="hy-AM"/>
        </w:rPr>
        <w:t>ավտոկայանատեղի համար սահմանված տեղական վճարից</w:t>
      </w:r>
      <w:r w:rsidR="004E2F0B">
        <w:rPr>
          <w:rFonts w:ascii="GHEA Grapalat" w:eastAsia="Arial Unicode MS" w:hAnsi="GHEA Grapalat" w:cs="Arial Unicode MS"/>
          <w:sz w:val="24"/>
          <w:szCs w:val="24"/>
          <w:lang w:val="hy-AM"/>
        </w:rPr>
        <w:t>։</w:t>
      </w:r>
      <w:r w:rsidR="001704E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Մինչդեռ նշված արտոնությունները գործնականում չեն խրախուսում </w:t>
      </w:r>
      <w:r w:rsidR="001704E8" w:rsidRPr="001704E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էլեկտրական շարժիչով տրանսպորտային միջոցների կիրառումը </w:t>
      </w:r>
      <w:r w:rsidR="001704E8">
        <w:rPr>
          <w:rFonts w:ascii="GHEA Grapalat" w:eastAsia="Arial Unicode MS" w:hAnsi="GHEA Grapalat" w:cs="Arial Unicode MS"/>
          <w:sz w:val="24"/>
          <w:szCs w:val="24"/>
          <w:lang w:val="hy-AM"/>
        </w:rPr>
        <w:t>ՀՀ-ում։</w:t>
      </w:r>
    </w:p>
    <w:p w:rsidR="00D2701E" w:rsidRDefault="00D2701E" w:rsidP="004E2F0B">
      <w:pPr>
        <w:ind w:firstLine="708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D2701E">
        <w:rPr>
          <w:rFonts w:ascii="GHEA Grapalat" w:eastAsia="Arial Unicode MS" w:hAnsi="GHEA Grapalat" w:cs="Arial Unicode MS"/>
          <w:sz w:val="24"/>
          <w:szCs w:val="24"/>
          <w:lang w:val="hy-AM"/>
        </w:rPr>
        <w:t>Ա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Ա</w:t>
      </w:r>
      <w:r w:rsidRPr="00D2701E">
        <w:rPr>
          <w:rFonts w:ascii="GHEA Grapalat" w:eastAsia="Arial Unicode MS" w:hAnsi="GHEA Grapalat" w:cs="Arial Unicode MS"/>
          <w:sz w:val="24"/>
          <w:szCs w:val="24"/>
          <w:lang w:val="hy-AM"/>
        </w:rPr>
        <w:t>Հ</w:t>
      </w:r>
      <w:r w:rsidR="001704E8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-ի </w:t>
      </w:r>
      <w:r w:rsidR="007200CD">
        <w:rPr>
          <w:rFonts w:ascii="GHEA Grapalat" w:eastAsia="Arial Unicode MS" w:hAnsi="GHEA Grapalat" w:cs="Arial Unicode MS"/>
          <w:sz w:val="24"/>
          <w:szCs w:val="24"/>
          <w:lang w:val="hy-AM"/>
        </w:rPr>
        <w:t>գծ</w:t>
      </w:r>
      <w:r w:rsidR="001704E8">
        <w:rPr>
          <w:rFonts w:ascii="GHEA Grapalat" w:eastAsia="Arial Unicode MS" w:hAnsi="GHEA Grapalat" w:cs="Arial Unicode MS"/>
          <w:sz w:val="24"/>
          <w:szCs w:val="24"/>
          <w:lang w:val="hy-AM"/>
        </w:rPr>
        <w:t>ով</w:t>
      </w:r>
      <w:r w:rsidRPr="00D2701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արտոնություններ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ը</w:t>
      </w:r>
      <w:r w:rsidRPr="00D2701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կիրառվում են մի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շարք եվրոպակ</w:t>
      </w:r>
      <w:r w:rsidR="00E61D67">
        <w:rPr>
          <w:rFonts w:ascii="GHEA Grapalat" w:eastAsia="Arial Unicode MS" w:hAnsi="GHEA Grapalat" w:cs="Arial Unicode MS"/>
          <w:sz w:val="24"/>
          <w:szCs w:val="24"/>
          <w:lang w:val="hy-AM"/>
        </w:rPr>
        <w:t>ան երկրներում</w:t>
      </w:r>
      <w:r w:rsidR="004E2F0B">
        <w:rPr>
          <w:rFonts w:ascii="GHEA Grapalat" w:eastAsia="Arial Unicode MS" w:hAnsi="GHEA Grapalat" w:cs="Arial Unicode MS"/>
          <w:sz w:val="24"/>
          <w:szCs w:val="24"/>
          <w:lang w:val="hy-AM"/>
        </w:rPr>
        <w:t>։ Մ</w:t>
      </w:r>
      <w:r w:rsidR="00E61D67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ի քանի երկրներում դա </w:t>
      </w:r>
      <w:r w:rsidR="00E44B6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խթանման </w:t>
      </w:r>
      <w:r w:rsidR="00E61D67">
        <w:rPr>
          <w:rFonts w:ascii="GHEA Grapalat" w:eastAsia="Arial Unicode MS" w:hAnsi="GHEA Grapalat" w:cs="Arial Unicode MS"/>
          <w:sz w:val="24"/>
          <w:szCs w:val="24"/>
          <w:lang w:val="hy-AM"/>
        </w:rPr>
        <w:t>միակ</w:t>
      </w:r>
      <w:r w:rsidR="00E44B6B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մեթոդն է, կամ կիրառվում է ձեռքբերման սուբսիդավորման հետ զուգահեռ։ </w:t>
      </w:r>
      <w:r w:rsidR="0022778E">
        <w:rPr>
          <w:rFonts w:ascii="GHEA Grapalat" w:eastAsia="Arial Unicode MS" w:hAnsi="GHEA Grapalat" w:cs="Arial Unicode MS"/>
          <w:sz w:val="24"/>
          <w:szCs w:val="24"/>
          <w:lang w:val="hy-AM"/>
        </w:rPr>
        <w:t>Ա</w:t>
      </w:r>
      <w:r w:rsidR="0022778E" w:rsidRPr="00D2701E">
        <w:rPr>
          <w:rFonts w:ascii="GHEA Grapalat" w:eastAsia="Arial Unicode MS" w:hAnsi="GHEA Grapalat" w:cs="Arial Unicode MS"/>
          <w:sz w:val="24"/>
          <w:szCs w:val="24"/>
          <w:lang w:val="hy-AM"/>
        </w:rPr>
        <w:t>ԱՀ արտոնության</w:t>
      </w:r>
      <w:r w:rsidR="0022778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="0022778E" w:rsidRPr="00D2701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տրամադրումն ամենաարդյունավետն է, </w:t>
      </w:r>
      <w:r w:rsidR="001704E8">
        <w:rPr>
          <w:rFonts w:ascii="GHEA Grapalat" w:eastAsia="Arial Unicode MS" w:hAnsi="GHEA Grapalat" w:cs="Arial Unicode MS"/>
          <w:sz w:val="24"/>
          <w:szCs w:val="24"/>
          <w:lang w:val="hy-AM"/>
        </w:rPr>
        <w:t>հաշվի առնելով, որ</w:t>
      </w:r>
      <w:r w:rsidR="0022778E" w:rsidRPr="00D2701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նման արտոնություն կիրառող </w:t>
      </w:r>
      <w:r w:rsidR="0022778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երկրները </w:t>
      </w:r>
      <w:r w:rsidR="0022778E" w:rsidRPr="00D2701E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առաջատարներն են </w:t>
      </w:r>
      <w:r w:rsidR="00533A00" w:rsidRPr="00533A00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էլեկտրական շարժիչով տրանսպորտային միջոցների </w:t>
      </w:r>
      <w:r w:rsidR="0022778E" w:rsidRPr="00D2701E">
        <w:rPr>
          <w:rFonts w:ascii="GHEA Grapalat" w:eastAsia="Arial Unicode MS" w:hAnsi="GHEA Grapalat" w:cs="Arial Unicode MS"/>
          <w:sz w:val="24"/>
          <w:szCs w:val="24"/>
          <w:lang w:val="hy-AM"/>
        </w:rPr>
        <w:t>տեսակարար կշռով</w:t>
      </w:r>
      <w:r w:rsidR="0022778E">
        <w:rPr>
          <w:rFonts w:ascii="GHEA Grapalat" w:eastAsia="Arial Unicode MS" w:hAnsi="GHEA Grapalat" w:cs="Arial Unicode MS"/>
          <w:sz w:val="24"/>
          <w:szCs w:val="24"/>
          <w:lang w:val="hy-AM"/>
        </w:rPr>
        <w:t>։</w:t>
      </w:r>
    </w:p>
    <w:p w:rsidR="00D2701E" w:rsidRPr="00D2701E" w:rsidRDefault="00D2701E" w:rsidP="00D2701E">
      <w:pPr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</w:p>
    <w:p w:rsidR="006E0621" w:rsidRPr="005F7328" w:rsidRDefault="006E0621" w:rsidP="006E0621">
      <w:pPr>
        <w:pStyle w:val="NormalWeb"/>
        <w:spacing w:before="0" w:beforeAutospacing="0" w:after="0" w:afterAutospacing="0"/>
        <w:ind w:left="720"/>
        <w:rPr>
          <w:rFonts w:ascii="GHEA Grapalat" w:hAnsi="GHEA Grapalat"/>
          <w:b/>
          <w:color w:val="000000"/>
          <w:u w:val="single"/>
          <w:lang w:val="hy-AM"/>
        </w:rPr>
      </w:pPr>
      <w:r w:rsidRPr="005F7328">
        <w:rPr>
          <w:rFonts w:ascii="GHEA Grapalat" w:hAnsi="GHEA Grapalat"/>
          <w:b/>
          <w:color w:val="000000"/>
          <w:u w:val="single"/>
          <w:lang w:val="hy-AM"/>
        </w:rPr>
        <w:t>2. Առաջարկվող կարգավորման բնույթը</w:t>
      </w:r>
    </w:p>
    <w:p w:rsidR="002679A9" w:rsidRPr="001704E8" w:rsidRDefault="00150E05" w:rsidP="002679A9">
      <w:pPr>
        <w:ind w:left="-90" w:firstLine="45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Հ</w:t>
      </w:r>
      <w:r w:rsidRPr="005F7328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իմք ընդունելով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«Նորմատիվ ակտերի մասին» ՀՀ օրենքի </w:t>
      </w:r>
      <w:r w:rsidRPr="00150E05">
        <w:rPr>
          <w:rFonts w:ascii="GHEA Grapalat" w:eastAsia="Arial Unicode MS" w:hAnsi="GHEA Grapalat" w:cs="Arial Unicode MS"/>
          <w:sz w:val="24"/>
          <w:szCs w:val="24"/>
          <w:lang w:val="af-ZA"/>
        </w:rPr>
        <w:t>(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ՀՕ-180</w:t>
      </w:r>
      <w:r w:rsidRPr="00150E05">
        <w:rPr>
          <w:rFonts w:ascii="GHEA Grapalat" w:eastAsia="Arial Unicode MS" w:hAnsi="GHEA Grapalat" w:cs="Arial Unicode MS"/>
          <w:sz w:val="24"/>
          <w:szCs w:val="24"/>
          <w:lang w:val="af-ZA"/>
        </w:rPr>
        <w:t>)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33-րդ հոդվածի 3-րդ մասը՝</w:t>
      </w:r>
      <w:r w:rsidRPr="00150E0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«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Հ</w:t>
      </w:r>
      <w:r w:rsidRPr="00150E0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այաստանի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>Հ</w:t>
      </w:r>
      <w:r w:rsidRPr="00150E05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անրապետության հարկային օրենսգրքում լրացում կատարելու մասին» օրենքի 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նախագծով առաջարկվում է </w:t>
      </w:r>
      <w:r w:rsidRPr="00F609D0">
        <w:rPr>
          <w:rFonts w:ascii="GHEA Grapalat" w:eastAsia="Arial Unicode MS" w:hAnsi="GHEA Grapalat" w:cs="Arial Unicode MS"/>
          <w:sz w:val="24"/>
          <w:szCs w:val="24"/>
          <w:lang w:val="hy-AM"/>
        </w:rPr>
        <w:t>Հայա</w:t>
      </w:r>
      <w:r w:rsidRPr="005F7328">
        <w:rPr>
          <w:rFonts w:ascii="GHEA Grapalat" w:eastAsia="Arial Unicode MS" w:hAnsi="GHEA Grapalat" w:cs="Arial Unicode MS"/>
          <w:sz w:val="24"/>
          <w:szCs w:val="24"/>
          <w:lang w:val="af-ZA"/>
        </w:rPr>
        <w:t>u</w:t>
      </w:r>
      <w:r w:rsidRPr="00F609D0">
        <w:rPr>
          <w:rFonts w:ascii="GHEA Grapalat" w:eastAsia="Arial Unicode MS" w:hAnsi="GHEA Grapalat" w:cs="Arial Unicode MS"/>
          <w:sz w:val="24"/>
          <w:szCs w:val="24"/>
          <w:lang w:val="hy-AM"/>
        </w:rPr>
        <w:t>տանի</w:t>
      </w:r>
      <w:r w:rsidRPr="005F7328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F609D0">
        <w:rPr>
          <w:rFonts w:ascii="GHEA Grapalat" w:eastAsia="Arial Unicode MS" w:hAnsi="GHEA Grapalat" w:cs="Arial Unicode MS"/>
          <w:sz w:val="24"/>
          <w:szCs w:val="24"/>
          <w:lang w:val="hy-AM"/>
        </w:rPr>
        <w:t>Հանրապետության</w:t>
      </w:r>
      <w:r w:rsidRPr="005F7328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հարկային </w:t>
      </w:r>
      <w:r w:rsidR="00D2701E">
        <w:rPr>
          <w:rFonts w:ascii="GHEA Grapalat" w:eastAsia="Arial Unicode MS" w:hAnsi="GHEA Grapalat" w:cs="Arial Unicode MS"/>
          <w:sz w:val="24"/>
          <w:szCs w:val="24"/>
          <w:lang w:val="hy-AM"/>
        </w:rPr>
        <w:t>օրենսգրքի</w:t>
      </w:r>
      <w:r w:rsidRPr="005F7328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</w:t>
      </w:r>
      <w:r w:rsidRPr="00150E05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64-րդ </w:t>
      </w:r>
      <w:r w:rsidR="00E8591D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հոդվածով սահմանված </w:t>
      </w:r>
      <w:r w:rsidR="00E8591D">
        <w:rPr>
          <w:rFonts w:ascii="GHEA Grapalat" w:eastAsia="Arial Unicode MS" w:hAnsi="GHEA Grapalat" w:cs="Arial Unicode MS"/>
          <w:sz w:val="24"/>
          <w:szCs w:val="24"/>
          <w:lang w:val="hy-AM"/>
        </w:rPr>
        <w:t>ա</w:t>
      </w:r>
      <w:r w:rsidR="00E8591D" w:rsidRPr="00E8591D">
        <w:rPr>
          <w:rFonts w:ascii="GHEA Grapalat" w:eastAsia="Arial Unicode MS" w:hAnsi="GHEA Grapalat" w:cs="Arial Unicode MS"/>
          <w:sz w:val="24"/>
          <w:szCs w:val="24"/>
          <w:lang w:val="af-ZA"/>
        </w:rPr>
        <w:t>վելացված արժեքի հարկից ազատված գործարքներ</w:t>
      </w:r>
      <w:r w:rsidR="00E8591D">
        <w:rPr>
          <w:rFonts w:ascii="GHEA Grapalat" w:eastAsia="Arial Unicode MS" w:hAnsi="GHEA Grapalat" w:cs="Arial Unicode MS"/>
          <w:sz w:val="24"/>
          <w:szCs w:val="24"/>
          <w:lang w:val="hy-AM"/>
        </w:rPr>
        <w:t>ի</w:t>
      </w:r>
      <w:r w:rsidR="00E8591D" w:rsidRPr="00E8591D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ու գործառնություններ</w:t>
      </w:r>
      <w:r w:rsidR="00E8591D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ի ցանկում ընդգրկել նաև </w:t>
      </w:r>
      <w:r w:rsidR="00B20687">
        <w:rPr>
          <w:rFonts w:ascii="GHEA Grapalat" w:eastAsia="Arial Unicode MS" w:hAnsi="GHEA Grapalat" w:cs="Arial Unicode MS"/>
          <w:sz w:val="24"/>
          <w:szCs w:val="24"/>
          <w:lang w:val="hy-AM"/>
        </w:rPr>
        <w:t>է</w:t>
      </w:r>
      <w:r w:rsidR="00533A00">
        <w:rPr>
          <w:rFonts w:ascii="GHEA Grapalat" w:eastAsia="Arial Unicode MS" w:hAnsi="GHEA Grapalat" w:cs="Arial Unicode MS"/>
          <w:sz w:val="24"/>
          <w:szCs w:val="24"/>
          <w:lang w:val="hy-AM"/>
        </w:rPr>
        <w:t>լեկտրական շարծիչով տրանսպորտային միջոցների</w:t>
      </w:r>
      <w:r w:rsidRPr="00150E05">
        <w:rPr>
          <w:rFonts w:ascii="GHEA Grapalat" w:eastAsia="Arial Unicode MS" w:hAnsi="GHEA Grapalat" w:cs="Arial Unicode MS"/>
          <w:sz w:val="24"/>
          <w:szCs w:val="24"/>
          <w:lang w:val="af-ZA"/>
        </w:rPr>
        <w:t xml:space="preserve"> ներմուծումը</w:t>
      </w:r>
      <w:r w:rsidR="002679A9">
        <w:rPr>
          <w:rFonts w:ascii="GHEA Grapalat" w:eastAsia="Arial Unicode MS" w:hAnsi="GHEA Grapalat" w:cs="Arial Unicode MS"/>
          <w:sz w:val="24"/>
          <w:szCs w:val="24"/>
          <w:lang w:val="hy-AM"/>
        </w:rPr>
        <w:t>։</w:t>
      </w:r>
    </w:p>
    <w:p w:rsidR="003A5396" w:rsidRPr="005F7328" w:rsidRDefault="003A5396" w:rsidP="0022778E">
      <w:pPr>
        <w:tabs>
          <w:tab w:val="num" w:pos="900"/>
        </w:tabs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af-ZA"/>
        </w:rPr>
      </w:pPr>
    </w:p>
    <w:p w:rsidR="006E0621" w:rsidRPr="005F7328" w:rsidRDefault="006E0621" w:rsidP="00C55982">
      <w:pPr>
        <w:pStyle w:val="NormalWeb"/>
        <w:spacing w:before="0" w:beforeAutospacing="0" w:after="0" w:afterAutospacing="0"/>
        <w:ind w:left="90" w:firstLine="450"/>
        <w:rPr>
          <w:rFonts w:ascii="GHEA Grapalat" w:hAnsi="GHEA Grapalat"/>
          <w:b/>
          <w:color w:val="000000"/>
          <w:u w:val="single"/>
          <w:lang w:val="hy-AM"/>
        </w:rPr>
      </w:pPr>
      <w:r w:rsidRPr="005F7328">
        <w:rPr>
          <w:rFonts w:ascii="GHEA Grapalat" w:hAnsi="GHEA Grapalat"/>
          <w:b/>
          <w:color w:val="000000"/>
          <w:u w:val="single"/>
          <w:lang w:val="hy-AM"/>
        </w:rPr>
        <w:t>3. Նախագծի մշակման գործընթացո</w:t>
      </w:r>
      <w:r w:rsidR="0022778E">
        <w:rPr>
          <w:rFonts w:ascii="GHEA Grapalat" w:hAnsi="GHEA Grapalat"/>
          <w:b/>
          <w:color w:val="000000"/>
          <w:u w:val="single"/>
          <w:lang w:val="hy-AM"/>
        </w:rPr>
        <w:t>ւմ ներգրավված ինստիտուտները</w:t>
      </w:r>
    </w:p>
    <w:p w:rsidR="006E0621" w:rsidRDefault="006E0621" w:rsidP="0022778E">
      <w:pPr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  <w:r w:rsidRPr="005F7328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    Նախագ</w:t>
      </w:r>
      <w:r w:rsidR="0022778E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իծը</w:t>
      </w:r>
      <w:r w:rsidRPr="005F7328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</w:t>
      </w:r>
      <w:r w:rsidR="0022778E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մշակվել է</w:t>
      </w:r>
      <w:r w:rsidRPr="005F7328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բնապահպանության նախարարության   </w:t>
      </w:r>
      <w:r w:rsidR="0022778E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կողմից։</w:t>
      </w:r>
      <w:r w:rsidRPr="005F7328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</w:t>
      </w:r>
    </w:p>
    <w:p w:rsidR="0022778E" w:rsidRPr="005F7328" w:rsidRDefault="0022778E" w:rsidP="0022778E">
      <w:pPr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6E0621" w:rsidRPr="005F7328" w:rsidRDefault="006E0621" w:rsidP="006E0621">
      <w:pPr>
        <w:pStyle w:val="NormalWeb"/>
        <w:spacing w:before="0" w:beforeAutospacing="0" w:after="0" w:afterAutospacing="0"/>
        <w:ind w:left="720"/>
        <w:rPr>
          <w:rFonts w:ascii="GHEA Grapalat" w:hAnsi="GHEA Grapalat"/>
          <w:b/>
          <w:color w:val="000000"/>
          <w:u w:val="single"/>
          <w:lang w:val="hy-AM"/>
        </w:rPr>
      </w:pPr>
      <w:r w:rsidRPr="005F7328">
        <w:rPr>
          <w:rFonts w:ascii="GHEA Grapalat" w:hAnsi="GHEA Grapalat"/>
          <w:b/>
          <w:color w:val="000000"/>
          <w:u w:val="single"/>
          <w:lang w:val="hy-AM"/>
        </w:rPr>
        <w:t>4. Ակնկալվող արդյունքը</w:t>
      </w:r>
    </w:p>
    <w:p w:rsidR="006E0621" w:rsidRPr="00533A00" w:rsidRDefault="006E0621" w:rsidP="004E2F0B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  <w:r w:rsidRPr="005F7328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lastRenderedPageBreak/>
        <w:t xml:space="preserve">  </w:t>
      </w:r>
      <w:r w:rsidR="009D3812" w:rsidRPr="005F7328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      </w:t>
      </w:r>
      <w:r w:rsidRPr="005F7328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Ներկայացված օրենքի նախագ</w:t>
      </w:r>
      <w:r w:rsidR="0022778E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ծով նպաստավոր պայմաններ կստեղծվեն երկրում </w:t>
      </w:r>
      <w:r w:rsidR="00533A00" w:rsidRPr="00533A00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էլեկտրական շարժիչով տրանսպորտային միջոցների </w:t>
      </w:r>
      <w:r w:rsidR="0022778E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ձեռքբերումն ու կիրառումը խթան</w:t>
      </w:r>
      <w:r w:rsidR="004E2F0B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ելու</w:t>
      </w:r>
      <w:r w:rsidR="0022778E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, մթնոլորտային օդի աղտոտվածության </w:t>
      </w:r>
      <w:r w:rsidR="004E2F0B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նվազեցման, ինչպես նաև Հայաստանի Հանրապետության էներգետիկ կախվածության նվազեցման համար։</w:t>
      </w:r>
      <w:r w:rsidR="00533A00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Էլեկտրական շարժիչով մոտոցիկլների </w:t>
      </w:r>
      <w:r w:rsidR="00533A00" w:rsidRPr="00533A00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(</w:t>
      </w:r>
      <w:r w:rsidR="00533A00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ներառյալ մոպեդները</w:t>
      </w:r>
      <w:r w:rsidR="00533A00" w:rsidRPr="00533A00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)</w:t>
      </w:r>
      <w:r w:rsidR="00533A00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կիրառման ավելացումը, բացի վերը նշված դրական ազդեցություններից, կնպաստի նաև խցանումների նվազմանն ու երթևեկության անվտանգության մեծացմանը։</w:t>
      </w:r>
    </w:p>
    <w:p w:rsidR="00E8591D" w:rsidRDefault="00E8591D" w:rsidP="00A54FF9">
      <w:pPr>
        <w:ind w:firstLine="708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Հիմք ընդունելուվ 2014 թվականի մայիսի 29-ին Աստանայում ընդունված «Ե</w:t>
      </w:r>
      <w:r w:rsidRPr="00E8591D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վրասիական տնտեսական միության մասին</w:t>
      </w:r>
      <w:r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» պայմանագրի 2-րդ հոդվածի 1-ին մասի 1-ին և 3-րդ կետերը՝  </w:t>
      </w:r>
      <w:r w:rsidR="00A54FF9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ա</w:t>
      </w:r>
      <w:r w:rsidR="00A54FF9" w:rsidRPr="00A54FF9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>պրանքների փոխադարձ առևտրում անդամ պետություններն իրավունք ունեն կիրառելու սահմանափակումներ (պայմանով, որ այդ միջոցներն անհիմն խտրականության միջոց կամ առևտրի քողարկված սահմանափակում չլինեն), եթե այդ սահմանափակումներն անհրաժեշտ են մարդու կյանքի և առողջության պահպանման</w:t>
      </w:r>
      <w:r w:rsidR="00A54FF9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և</w:t>
      </w:r>
      <w:r w:rsidR="00A54FF9" w:rsidRPr="00A54FF9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շրջակա միջավայրի պահպանության</w:t>
      </w:r>
      <w:r w:rsidR="00A54FF9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 ապահովման համար։</w:t>
      </w:r>
    </w:p>
    <w:p w:rsidR="00E8591D" w:rsidRPr="00E8591D" w:rsidRDefault="00E8591D" w:rsidP="00E8591D">
      <w:pPr>
        <w:ind w:firstLine="708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E8591D" w:rsidRDefault="00E8591D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A54FF9" w:rsidRDefault="00A54FF9" w:rsidP="00E8591D">
      <w:pPr>
        <w:spacing w:line="23" w:lineRule="atLeast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</w:p>
    <w:p w:rsidR="002679A9" w:rsidRDefault="002679A9" w:rsidP="006E0621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</w:p>
    <w:p w:rsidR="006E6482" w:rsidRDefault="006E6482" w:rsidP="006E0621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</w:p>
    <w:p w:rsidR="006E6482" w:rsidRDefault="006E6482" w:rsidP="006E0621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</w:p>
    <w:p w:rsidR="006E0621" w:rsidRPr="006D60AE" w:rsidRDefault="006E0621" w:rsidP="006E0621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6D60AE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ՏԵՂԵԿԱՆՔ</w:t>
      </w:r>
    </w:p>
    <w:p w:rsidR="002679A9" w:rsidRPr="002679A9" w:rsidRDefault="002679A9" w:rsidP="002679A9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2679A9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ՀԱՅԱՍՏԱՆԻ ՀԱՆՐԱՊԵՏՈՒԹՅԱՆ ՀԱՐԿԱՅԻՆ ՕՐԵՆՍԳՐՔՈՒՄ ԼՐԱՑՈՒՄ ԿԱՏԱՐԵԼՈՒ ՄԱՍԻՆ</w:t>
      </w:r>
    </w:p>
    <w:p w:rsidR="006D60AE" w:rsidRDefault="002679A9" w:rsidP="002679A9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 w:rsidRPr="002679A9"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ՀԱՅԱՍՏԱՆԻ ՀԱՆՐԱՊԵՏՈՒԹՅԱՆ ՕՐԵՆՔԻ</w:t>
      </w:r>
    </w:p>
    <w:p w:rsidR="002679A9" w:rsidRPr="006D60AE" w:rsidRDefault="002679A9" w:rsidP="002679A9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ՆԱԽԱԳԾԻ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9153"/>
      </w:tblGrid>
      <w:tr w:rsidR="006E0621" w:rsidRPr="005F7328" w:rsidTr="00B142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5F7328" w:rsidRDefault="00AB6CB6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>1</w:t>
            </w: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5F7328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CD62E3" w:rsidRPr="005F7328" w:rsidTr="00B142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2E3" w:rsidRPr="005F7328" w:rsidRDefault="00CD62E3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2E3" w:rsidRPr="006D60AE" w:rsidRDefault="00CD62E3" w:rsidP="004E2F0B">
            <w:pPr>
              <w:spacing w:line="23" w:lineRule="atLeast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hy-AM"/>
              </w:rPr>
            </w:pPr>
            <w:r w:rsidRPr="006D60A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af-ZA"/>
              </w:rPr>
              <w:t xml:space="preserve">Օրենքի նախագծի ընդունմամբ </w:t>
            </w:r>
            <w:r w:rsidR="006D60AE" w:rsidRPr="006D60A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hy-AM"/>
              </w:rPr>
              <w:t xml:space="preserve">այլ իրավական ակտերում </w:t>
            </w:r>
            <w:r w:rsidR="006D60AE" w:rsidRPr="006D60AE">
              <w:rPr>
                <w:rFonts w:ascii="GHEA Grapalat" w:eastAsia="Arial Unicode MS" w:hAnsi="GHEA Grapalat" w:cs="Arial Unicode MS"/>
                <w:i/>
                <w:sz w:val="24"/>
                <w:szCs w:val="24"/>
              </w:rPr>
              <w:t>փոփոխությունների և/կամ լրացումների անհրաժեշտությունը</w:t>
            </w:r>
            <w:r w:rsidR="006D60AE" w:rsidRPr="006D60A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hy-AM"/>
              </w:rPr>
              <w:t xml:space="preserve"> բացակայում է</w:t>
            </w:r>
          </w:p>
        </w:tc>
      </w:tr>
      <w:tr w:rsidR="006E0621" w:rsidRPr="008D751F" w:rsidTr="00B142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6D60AE" w:rsidRDefault="006D60AE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</w:pPr>
            <w:r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  <w:t>2</w:t>
            </w: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6D60AE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</w:pPr>
            <w:r w:rsidRPr="006D60AE"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6E0621" w:rsidRPr="008D751F" w:rsidTr="006D60AE">
        <w:trPr>
          <w:trHeight w:val="7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6D60AE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</w:pP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6D60AE" w:rsidRDefault="006D60AE" w:rsidP="006D60AE">
            <w:pPr>
              <w:jc w:val="both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hy-AM"/>
              </w:rPr>
            </w:pPr>
            <w:r w:rsidRPr="006D60A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af-ZA"/>
              </w:rPr>
              <w:t>Օրենք</w:t>
            </w:r>
            <w:r w:rsidR="00AB77D8" w:rsidRPr="006D60A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af-ZA"/>
              </w:rPr>
              <w:t>ի նախագծի ընդունմամբ</w:t>
            </w:r>
            <w:r w:rsidR="006E0621" w:rsidRPr="006D60A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af-ZA"/>
              </w:rPr>
              <w:t xml:space="preserve"> Միջազգային պայմանագրերով ստանձնած պարտավորությունների  փոփոխության անհրաժեշտություն</w:t>
            </w:r>
            <w:r w:rsidRPr="006D60AE"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hy-AM"/>
              </w:rPr>
              <w:t>ը բացակայում է</w:t>
            </w:r>
          </w:p>
        </w:tc>
      </w:tr>
      <w:tr w:rsidR="006E0621" w:rsidRPr="005F7328" w:rsidTr="00B142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5F7328" w:rsidRDefault="006D60AE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>3</w:t>
            </w: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5F7328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Այլ տեղեկություններ </w:t>
            </w:r>
            <w:r w:rsidRPr="005F7328">
              <w:rPr>
                <w:rFonts w:ascii="GHEA Grapalat" w:eastAsia="Arial Unicode MS" w:hAnsi="GHEA Grapalat" w:cs="Arial Unicode MS"/>
                <w:bCs/>
                <w:sz w:val="24"/>
                <w:szCs w:val="24"/>
              </w:rPr>
              <w:t>(եթե այդպիսիք առկա են)</w:t>
            </w:r>
          </w:p>
        </w:tc>
      </w:tr>
      <w:tr w:rsidR="00632AC3" w:rsidRPr="005F7328" w:rsidTr="00B142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3" w:rsidRPr="005F7328" w:rsidRDefault="00632AC3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</w:p>
        </w:tc>
        <w:tc>
          <w:tcPr>
            <w:tcW w:w="9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AC3" w:rsidRPr="006D60AE" w:rsidRDefault="00632AC3" w:rsidP="006D60AE">
            <w:pPr>
              <w:spacing w:line="23" w:lineRule="atLeast"/>
              <w:rPr>
                <w:rFonts w:ascii="GHEA Grapalat" w:eastAsia="Arial Unicode MS" w:hAnsi="GHEA Grapalat" w:cs="Arial Unicode MS"/>
                <w:i/>
                <w:sz w:val="24"/>
                <w:szCs w:val="24"/>
                <w:lang w:val="hy-AM"/>
              </w:rPr>
            </w:pPr>
          </w:p>
        </w:tc>
      </w:tr>
    </w:tbl>
    <w:p w:rsidR="006E0621" w:rsidRPr="005F7328" w:rsidRDefault="006E0621" w:rsidP="006E0621">
      <w:pPr>
        <w:spacing w:line="23" w:lineRule="atLeast"/>
        <w:rPr>
          <w:rFonts w:ascii="GHEA Grapalat" w:eastAsia="Arial Unicode MS" w:hAnsi="GHEA Grapalat" w:cs="Arial Unicode MS"/>
          <w:b/>
          <w:sz w:val="24"/>
          <w:szCs w:val="24"/>
        </w:rPr>
      </w:pPr>
    </w:p>
    <w:p w:rsidR="000B6C53" w:rsidRDefault="000B6C53" w:rsidP="006E0621">
      <w:pPr>
        <w:spacing w:line="23" w:lineRule="atLeast"/>
        <w:jc w:val="center"/>
        <w:rPr>
          <w:rFonts w:ascii="GHEA Grapalat" w:eastAsia="Arial Unicode MS" w:hAnsi="GHEA Grapalat" w:cs="Arial Unicode MS"/>
          <w:b/>
          <w:sz w:val="24"/>
          <w:szCs w:val="24"/>
        </w:rPr>
      </w:pPr>
    </w:p>
    <w:p w:rsidR="007C3EE4" w:rsidRPr="002679A9" w:rsidRDefault="006E0621" w:rsidP="006E0621">
      <w:pPr>
        <w:spacing w:line="23" w:lineRule="atLeast"/>
        <w:jc w:val="center"/>
        <w:rPr>
          <w:rFonts w:ascii="GHEA Grapalat" w:eastAsia="Arial Unicode MS" w:hAnsi="GHEA Grapalat" w:cs="Arial Unicode MS"/>
          <w:b/>
          <w:sz w:val="24"/>
          <w:szCs w:val="24"/>
        </w:rPr>
      </w:pPr>
      <w:r w:rsidRPr="002679A9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>Տ</w:t>
      </w:r>
      <w:r w:rsidRPr="002679A9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2679A9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>Ե</w:t>
      </w:r>
      <w:r w:rsidRPr="002679A9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2679A9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>Ղ</w:t>
      </w:r>
      <w:r w:rsidRPr="002679A9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2679A9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>Ե</w:t>
      </w:r>
      <w:r w:rsidRPr="002679A9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2679A9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>Կ</w:t>
      </w:r>
      <w:r w:rsidRPr="002679A9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2679A9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>Ա</w:t>
      </w:r>
      <w:r w:rsidRPr="002679A9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2679A9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>Ն</w:t>
      </w:r>
      <w:r w:rsidRPr="002679A9">
        <w:rPr>
          <w:rFonts w:ascii="GHEA Grapalat" w:eastAsia="Arial Unicode MS" w:hAnsi="GHEA Grapalat" w:cs="Arial Unicode MS"/>
          <w:b/>
          <w:sz w:val="24"/>
          <w:szCs w:val="24"/>
        </w:rPr>
        <w:t xml:space="preserve"> </w:t>
      </w:r>
      <w:r w:rsidRPr="002679A9">
        <w:rPr>
          <w:rFonts w:ascii="GHEA Grapalat" w:eastAsia="Arial Unicode MS" w:hAnsi="GHEA Grapalat" w:cs="Arial Unicode MS"/>
          <w:b/>
          <w:sz w:val="24"/>
          <w:szCs w:val="24"/>
          <w:lang w:val="en-US"/>
        </w:rPr>
        <w:t>Ք</w:t>
      </w:r>
    </w:p>
    <w:p w:rsidR="002679A9" w:rsidRPr="002679A9" w:rsidRDefault="002679A9" w:rsidP="002679A9">
      <w:pPr>
        <w:spacing w:line="23" w:lineRule="atLeast"/>
        <w:jc w:val="center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  <w:r w:rsidRPr="002679A9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>ՀԱՅԱՍՏԱՆԻ ՀԱՆՐԱՊԵՏՈՒԹՅԱՆ ՀԱՐԿԱՅԻՆ ՕՐԵՆՍԳՐՔՈՒՄ ԼՐԱՑՈՒՄ ԿԱՏԱՐԵԼՈՒ ՄԱՍԻՆ</w:t>
      </w:r>
    </w:p>
    <w:p w:rsidR="006E0621" w:rsidRDefault="002679A9" w:rsidP="002679A9">
      <w:pPr>
        <w:spacing w:line="23" w:lineRule="atLeast"/>
        <w:jc w:val="center"/>
        <w:rPr>
          <w:rFonts w:ascii="GHEA Grapalat" w:eastAsia="Arial Unicode MS" w:hAnsi="GHEA Grapalat" w:cs="Arial Unicode MS"/>
          <w:b/>
          <w:sz w:val="24"/>
          <w:szCs w:val="24"/>
          <w:lang w:val="af-ZA"/>
        </w:rPr>
      </w:pPr>
      <w:r w:rsidRPr="002679A9">
        <w:rPr>
          <w:rFonts w:ascii="GHEA Grapalat" w:eastAsia="Arial Unicode MS" w:hAnsi="GHEA Grapalat" w:cs="Arial Unicode MS"/>
          <w:b/>
          <w:sz w:val="24"/>
          <w:szCs w:val="24"/>
          <w:lang w:val="af-ZA"/>
        </w:rPr>
        <w:t>ՀԱՅԱՍՏԱՆԻ ՀԱՆՐԱՊԵՏՈՒԹՅԱՆ ՕՐԵՆՔԻ</w:t>
      </w:r>
    </w:p>
    <w:p w:rsidR="008D751F" w:rsidRPr="008D751F" w:rsidRDefault="008D751F" w:rsidP="002679A9">
      <w:pPr>
        <w:spacing w:line="23" w:lineRule="atLeast"/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ՆԱԽԱԳԾԻ</w:t>
      </w:r>
    </w:p>
    <w:p w:rsidR="002679A9" w:rsidRPr="005F7328" w:rsidRDefault="002679A9" w:rsidP="002679A9">
      <w:pPr>
        <w:spacing w:line="23" w:lineRule="atLeast"/>
        <w:jc w:val="center"/>
        <w:rPr>
          <w:rFonts w:ascii="GHEA Grapalat" w:eastAsia="Arial Unicode MS" w:hAnsi="GHEA Grapalat" w:cs="Arial Unicode MS"/>
          <w:sz w:val="24"/>
          <w:szCs w:val="24"/>
          <w:lang w:val="af-ZA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"/>
        <w:gridCol w:w="3865"/>
        <w:gridCol w:w="5305"/>
      </w:tblGrid>
      <w:tr w:rsidR="006E0621" w:rsidRPr="005F7328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5F7328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5F7328">
              <w:rPr>
                <w:rFonts w:ascii="GHEA Grapalat" w:eastAsia="Arial Unicode MS" w:hAnsi="GHEA Grapalat" w:cs="Arial Unicode MS"/>
                <w:sz w:val="24"/>
                <w:szCs w:val="24"/>
                <w:lang w:val="af-ZA"/>
              </w:rPr>
              <w:t xml:space="preserve">                                   </w:t>
            </w:r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Տեղեկանք հանրության մասնակցության մասին</w:t>
            </w:r>
          </w:p>
        </w:tc>
      </w:tr>
      <w:tr w:rsidR="006E0621" w:rsidRPr="005F7328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5F7328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1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5F7328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Հանրությանը նախագծի վերաբերյալ իրազեկումը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5F7328" w:rsidRDefault="00152872" w:rsidP="000B6C53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Նախագիծը տեղադրվել է Իրավական ակտերի նախագծերի հրապարակման միասնական </w:t>
            </w:r>
            <w:r w:rsidRPr="005F7328">
              <w:rPr>
                <w:rFonts w:ascii="GHEA Grapalat" w:eastAsia="Arial Unicode MS" w:hAnsi="GHEA Grapalat" w:cs="Arial Unicode MS"/>
                <w:color w:val="0000FF"/>
                <w:sz w:val="24"/>
                <w:szCs w:val="24"/>
                <w:u w:val="single"/>
              </w:rPr>
              <w:t>www.e-draft.am</w:t>
            </w:r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կայքում</w:t>
            </w:r>
          </w:p>
        </w:tc>
      </w:tr>
      <w:tr w:rsidR="006E0621" w:rsidRPr="005F7328" w:rsidTr="006D60AE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5F7328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2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5F7328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Հանրության մասնակցությունը նախագծմանը և/կամ քննարկումներին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21" w:rsidRPr="006D60AE" w:rsidRDefault="006D60AE" w:rsidP="006D60AE">
            <w:pPr>
              <w:jc w:val="center"/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</w:pPr>
            <w:r>
              <w:rPr>
                <w:rFonts w:ascii="GHEA Grapalat" w:eastAsia="Arial Unicode MS" w:hAnsi="GHEA Grapalat" w:cs="Arial Unicode MS"/>
                <w:sz w:val="24"/>
                <w:szCs w:val="24"/>
                <w:lang w:val="hy-AM"/>
              </w:rPr>
              <w:t>-</w:t>
            </w:r>
          </w:p>
        </w:tc>
      </w:tr>
      <w:tr w:rsidR="006E0621" w:rsidRPr="005F7328" w:rsidTr="00ED018A">
        <w:trPr>
          <w:trHeight w:val="77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5F7328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3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621" w:rsidRPr="005F7328" w:rsidRDefault="006E0621" w:rsidP="006E0621">
            <w:pPr>
              <w:spacing w:line="23" w:lineRule="atLeast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Հանրության մասնակցության արդյունքները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621" w:rsidRPr="005F7328" w:rsidRDefault="00152872" w:rsidP="00152872">
            <w:pPr>
              <w:spacing w:line="23" w:lineRule="atLeast"/>
              <w:jc w:val="center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5F7328">
              <w:rPr>
                <w:rFonts w:ascii="GHEA Grapalat" w:eastAsia="Arial Unicode MS" w:hAnsi="GHEA Grapalat" w:cs="Arial Unicode MS"/>
                <w:sz w:val="24"/>
                <w:szCs w:val="24"/>
              </w:rPr>
              <w:t>-</w:t>
            </w:r>
          </w:p>
        </w:tc>
      </w:tr>
    </w:tbl>
    <w:p w:rsidR="006E0621" w:rsidRPr="005F7328" w:rsidRDefault="006E0621" w:rsidP="006E0621">
      <w:pPr>
        <w:rPr>
          <w:rFonts w:ascii="GHEA Grapalat" w:hAnsi="GHEA Grapalat"/>
          <w:sz w:val="24"/>
          <w:szCs w:val="24"/>
          <w:lang w:val="fr-FR"/>
        </w:rPr>
      </w:pPr>
    </w:p>
    <w:p w:rsidR="002679A9" w:rsidRDefault="002679A9" w:rsidP="007200CD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/>
        </w:rPr>
      </w:pPr>
    </w:p>
    <w:p w:rsidR="00ED018A" w:rsidRDefault="00ED018A" w:rsidP="007200CD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/>
        </w:rPr>
      </w:pPr>
    </w:p>
    <w:p w:rsidR="002679A9" w:rsidRPr="007200CD" w:rsidRDefault="007200CD" w:rsidP="007200CD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/>
        </w:rPr>
      </w:pPr>
      <w:r w:rsidRPr="007200CD">
        <w:rPr>
          <w:rFonts w:ascii="GHEA Grapalat" w:eastAsia="Arial Unicode MS" w:hAnsi="GHEA Grapalat" w:cs="Arial Unicode MS"/>
          <w:b/>
          <w:sz w:val="24"/>
          <w:szCs w:val="24"/>
          <w:lang w:val="sv-SE"/>
        </w:rPr>
        <w:t>Տ Ե Ղ Ե Կ Ա Ն Ք</w:t>
      </w:r>
    </w:p>
    <w:p w:rsidR="002679A9" w:rsidRPr="002679A9" w:rsidRDefault="002679A9" w:rsidP="002679A9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/>
        </w:rPr>
      </w:pPr>
      <w:r w:rsidRPr="002679A9">
        <w:rPr>
          <w:rFonts w:ascii="GHEA Grapalat" w:eastAsia="Arial Unicode MS" w:hAnsi="GHEA Grapalat" w:cs="Arial Unicode MS"/>
          <w:b/>
          <w:sz w:val="24"/>
          <w:szCs w:val="24"/>
          <w:lang w:val="sv-SE"/>
        </w:rPr>
        <w:t>ՀԱՅԱՍՏԱՆԻ ՀԱՆՐԱՊԵՏՈՒԹՅԱՆ ՀԱՐԿԱՅԻՆ ՕՐԵՆՍԳՐՔՈՒՄ ԼՐԱՑՈՒՄ ԿԱՏԱՐԵԼՈՒ ՄԱՍԻՆ</w:t>
      </w:r>
    </w:p>
    <w:p w:rsidR="007200CD" w:rsidRDefault="002679A9" w:rsidP="002679A9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sv-SE"/>
        </w:rPr>
      </w:pPr>
      <w:r w:rsidRPr="002679A9">
        <w:rPr>
          <w:rFonts w:ascii="GHEA Grapalat" w:eastAsia="Arial Unicode MS" w:hAnsi="GHEA Grapalat" w:cs="Arial Unicode MS"/>
          <w:b/>
          <w:sz w:val="24"/>
          <w:szCs w:val="24"/>
          <w:lang w:val="sv-SE"/>
        </w:rPr>
        <w:t>ՀԱՅԱՍՏԱՆԻ ՀԱՆՐԱՊԵՏՈՒԹՅԱՆ ՕՐԵՆՔԻ</w:t>
      </w:r>
    </w:p>
    <w:p w:rsidR="008D751F" w:rsidRPr="008D751F" w:rsidRDefault="008D751F" w:rsidP="002679A9">
      <w:pPr>
        <w:jc w:val="center"/>
        <w:rPr>
          <w:rFonts w:ascii="GHEA Grapalat" w:eastAsia="Arial Unicode MS" w:hAnsi="GHEA Grapalat" w:cs="Arial Unicode MS"/>
          <w:b/>
          <w:sz w:val="24"/>
          <w:szCs w:val="24"/>
          <w:lang w:val="hy-AM"/>
        </w:rPr>
      </w:pPr>
      <w:r>
        <w:rPr>
          <w:rFonts w:ascii="GHEA Grapalat" w:eastAsia="Arial Unicode MS" w:hAnsi="GHEA Grapalat" w:cs="Arial Unicode MS"/>
          <w:b/>
          <w:sz w:val="24"/>
          <w:szCs w:val="24"/>
          <w:lang w:val="hy-AM"/>
        </w:rPr>
        <w:t>ՆԱԽԱԳԾԻ</w:t>
      </w:r>
    </w:p>
    <w:p w:rsidR="006E0621" w:rsidRPr="007200CD" w:rsidRDefault="007200CD" w:rsidP="007200CD">
      <w:pPr>
        <w:spacing w:line="23" w:lineRule="atLeast"/>
        <w:ind w:firstLine="709"/>
        <w:jc w:val="both"/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</w:pPr>
      <w:r w:rsidRPr="007200CD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Հաշվի առնելով այն, </w:t>
      </w:r>
      <w:bookmarkStart w:id="0" w:name="_GoBack"/>
      <w:bookmarkEnd w:id="0"/>
      <w:r w:rsidRPr="007200CD">
        <w:rPr>
          <w:rFonts w:ascii="GHEA Grapalat" w:eastAsia="Arial Unicode MS" w:hAnsi="GHEA Grapalat" w:cs="Arial Unicode MS"/>
          <w:color w:val="000000"/>
          <w:sz w:val="24"/>
          <w:szCs w:val="24"/>
          <w:lang w:val="hy-AM"/>
        </w:rPr>
        <w:t xml:space="preserve">որ Հայաստանի Հանրապետությունում ձեռք բերված և օրենքով սահմանված կարգով հաշվառված էլեկրամոբիլների քանակը չի գերազանցում երկու տասնյակը՝ Օրենքի նախագծի ընդունմամբ պետական բյուջեի մուտքերի վրա կունենա ոչ էական ազդեցություն։ </w:t>
      </w:r>
    </w:p>
    <w:sectPr w:rsidR="006E0621" w:rsidRPr="007200CD" w:rsidSect="00A54FF9">
      <w:pgSz w:w="11906" w:h="16838"/>
      <w:pgMar w:top="810" w:right="836" w:bottom="63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12FBA"/>
    <w:multiLevelType w:val="hybridMultilevel"/>
    <w:tmpl w:val="3574FF46"/>
    <w:lvl w:ilvl="0" w:tplc="6BB6AD1A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" w15:restartNumberingAfterBreak="0">
    <w:nsid w:val="29D921EC"/>
    <w:multiLevelType w:val="hybridMultilevel"/>
    <w:tmpl w:val="FE9C39BC"/>
    <w:lvl w:ilvl="0" w:tplc="BC34D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Sylfaen"/>
      </w:rPr>
    </w:lvl>
    <w:lvl w:ilvl="1" w:tplc="39584C04">
      <w:start w:val="1"/>
      <w:numFmt w:val="decimal"/>
      <w:lvlText w:val="%2)"/>
      <w:lvlJc w:val="left"/>
      <w:pPr>
        <w:tabs>
          <w:tab w:val="num" w:pos="1560"/>
        </w:tabs>
        <w:ind w:left="1560" w:hanging="480"/>
      </w:pPr>
      <w:rPr>
        <w:rFonts w:cs="Sylfae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E343C0"/>
    <w:multiLevelType w:val="hybridMultilevel"/>
    <w:tmpl w:val="2D8818F4"/>
    <w:lvl w:ilvl="0" w:tplc="E7506D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21"/>
    <w:rsid w:val="00095A2F"/>
    <w:rsid w:val="000B6A68"/>
    <w:rsid w:val="000B6C53"/>
    <w:rsid w:val="000B7D69"/>
    <w:rsid w:val="000F668C"/>
    <w:rsid w:val="00105FA1"/>
    <w:rsid w:val="00150E05"/>
    <w:rsid w:val="00152872"/>
    <w:rsid w:val="001653A0"/>
    <w:rsid w:val="001704E8"/>
    <w:rsid w:val="0019775C"/>
    <w:rsid w:val="001E6632"/>
    <w:rsid w:val="00220AC7"/>
    <w:rsid w:val="0022778E"/>
    <w:rsid w:val="002537FD"/>
    <w:rsid w:val="002679A9"/>
    <w:rsid w:val="002B64D7"/>
    <w:rsid w:val="003A5396"/>
    <w:rsid w:val="003C6BFE"/>
    <w:rsid w:val="004E25A2"/>
    <w:rsid w:val="004E2F0B"/>
    <w:rsid w:val="00527970"/>
    <w:rsid w:val="00533A00"/>
    <w:rsid w:val="005805A2"/>
    <w:rsid w:val="00594BDC"/>
    <w:rsid w:val="005F7328"/>
    <w:rsid w:val="0060480F"/>
    <w:rsid w:val="006217F3"/>
    <w:rsid w:val="00632AC3"/>
    <w:rsid w:val="00660490"/>
    <w:rsid w:val="006D1808"/>
    <w:rsid w:val="006D60AE"/>
    <w:rsid w:val="006E0621"/>
    <w:rsid w:val="006E6482"/>
    <w:rsid w:val="007200CD"/>
    <w:rsid w:val="007C3EE4"/>
    <w:rsid w:val="007E466B"/>
    <w:rsid w:val="00845C32"/>
    <w:rsid w:val="008821A2"/>
    <w:rsid w:val="008D0849"/>
    <w:rsid w:val="008D751F"/>
    <w:rsid w:val="008F04B3"/>
    <w:rsid w:val="009263F9"/>
    <w:rsid w:val="0096372B"/>
    <w:rsid w:val="009D3812"/>
    <w:rsid w:val="00A45538"/>
    <w:rsid w:val="00A54FF9"/>
    <w:rsid w:val="00A6291D"/>
    <w:rsid w:val="00A642D5"/>
    <w:rsid w:val="00AB6CB6"/>
    <w:rsid w:val="00AB77D8"/>
    <w:rsid w:val="00B14206"/>
    <w:rsid w:val="00B20687"/>
    <w:rsid w:val="00B22AEC"/>
    <w:rsid w:val="00B358DC"/>
    <w:rsid w:val="00BE3E37"/>
    <w:rsid w:val="00C2166A"/>
    <w:rsid w:val="00C55982"/>
    <w:rsid w:val="00CD62E3"/>
    <w:rsid w:val="00D2701E"/>
    <w:rsid w:val="00D848FF"/>
    <w:rsid w:val="00DE087D"/>
    <w:rsid w:val="00E44B6B"/>
    <w:rsid w:val="00E61D67"/>
    <w:rsid w:val="00E8591D"/>
    <w:rsid w:val="00ED018A"/>
    <w:rsid w:val="00F609D0"/>
    <w:rsid w:val="00F87088"/>
    <w:rsid w:val="00FB625E"/>
    <w:rsid w:val="00FD0F13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7F3C6C"/>
  <w15:chartTrackingRefBased/>
  <w15:docId w15:val="{E44B813A-997B-492F-BDE0-B9C820B4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621"/>
    <w:rPr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0621"/>
    <w:rPr>
      <w:color w:val="0000FF"/>
      <w:u w:val="single"/>
    </w:rPr>
  </w:style>
  <w:style w:type="paragraph" w:styleId="NormalWeb">
    <w:name w:val="Normal (Web)"/>
    <w:basedOn w:val="Normal"/>
    <w:rsid w:val="006E0621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CommentReference">
    <w:name w:val="annotation reference"/>
    <w:rsid w:val="00F870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7088"/>
  </w:style>
  <w:style w:type="character" w:customStyle="1" w:styleId="CommentTextChar">
    <w:name w:val="Comment Text Char"/>
    <w:link w:val="CommentText"/>
    <w:rsid w:val="00F87088"/>
    <w:rPr>
      <w:lang w:val="en-GB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F87088"/>
    <w:rPr>
      <w:b/>
      <w:bCs/>
    </w:rPr>
  </w:style>
  <w:style w:type="character" w:customStyle="1" w:styleId="CommentSubjectChar">
    <w:name w:val="Comment Subject Char"/>
    <w:link w:val="CommentSubject"/>
    <w:rsid w:val="00F87088"/>
    <w:rPr>
      <w:b/>
      <w:bCs/>
      <w:lang w:val="en-GB" w:eastAsia="ru-RU"/>
    </w:rPr>
  </w:style>
  <w:style w:type="paragraph" w:styleId="BalloonText">
    <w:name w:val="Balloon Text"/>
    <w:basedOn w:val="Normal"/>
    <w:link w:val="BalloonTextChar"/>
    <w:rsid w:val="00F870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87088"/>
    <w:rPr>
      <w:rFonts w:ascii="Tahoma" w:hAnsi="Tahoma" w:cs="Tahoma"/>
      <w:sz w:val="16"/>
      <w:szCs w:val="16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Հիմնավորում</vt:lpstr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https://mul2.gov.am/tasks/8792/oneclick/02texekank-himnavorum.docx?token=45bed7e5da6f96ce358673bb2aecd15a</cp:keywords>
</cp:coreProperties>
</file>