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32" w:rsidRPr="001531DB" w:rsidRDefault="00AB6116" w:rsidP="00BC7832">
      <w:pPr>
        <w:jc w:val="center"/>
        <w:rPr>
          <w:b/>
        </w:rPr>
      </w:pPr>
      <w:r>
        <w:rPr>
          <w:b/>
        </w:rPr>
        <w:t>ԱՄՓՈՓԱԹԵՐԹ</w:t>
      </w:r>
    </w:p>
    <w:p w:rsidR="00BC7832" w:rsidRPr="001531DB" w:rsidRDefault="00BC7832" w:rsidP="001531DB">
      <w:pPr>
        <w:spacing w:after="0"/>
        <w:jc w:val="center"/>
        <w:rPr>
          <w:b/>
        </w:rPr>
      </w:pPr>
      <w:r w:rsidRPr="001531DB">
        <w:rPr>
          <w:b/>
        </w:rPr>
        <w:t xml:space="preserve">18.01.2018թ ՀՀ կառավարության մշտապես գործող ֆինանսատնտեսական նախարարական կոմիտեում </w:t>
      </w:r>
      <w:r w:rsidR="00AB6116">
        <w:rPr>
          <w:b/>
        </w:rPr>
        <w:t xml:space="preserve">տրված </w:t>
      </w:r>
      <w:r w:rsidRPr="001531DB">
        <w:rPr>
          <w:rFonts w:cs="Sylfaen"/>
          <w:b/>
          <w:lang w:val="hy-AM"/>
        </w:rPr>
        <w:t>««Ապահովագրության և ապահովագրական գործունեության մասին» ՀՀ օրենքում լրացումներ կատարելու մասին», ««Գրավատների և գրավատնային գործունեության մասին» ՀՀ օրենքում լրացումներ կատարելու մասին», ««Վճարահաշվարկային համակարգերի և վճարահաշվարկային կազմակերպությունների մասին» ՀՀ օրենքում լրացումներ կատարելու մասին», ««Արժութային կարգավորման և արժութային վերահսկողության մասին» Հայաստանի Հանրապետության լրացում կատարելու մասին» ՀՀ օրենքում լրացումներ կատարելու մասին</w:t>
      </w:r>
      <w:r w:rsidR="00B1425F">
        <w:rPr>
          <w:rFonts w:cs="Sylfaen"/>
          <w:b/>
          <w:lang w:val="hy-AM"/>
        </w:rPr>
        <w:t>»</w:t>
      </w:r>
      <w:r w:rsidR="00B1425F">
        <w:rPr>
          <w:rFonts w:cs="Sylfaen"/>
          <w:b/>
        </w:rPr>
        <w:t xml:space="preserve"> </w:t>
      </w:r>
      <w:bookmarkStart w:id="0" w:name="_GoBack"/>
      <w:bookmarkEnd w:id="0"/>
      <w:r w:rsidRPr="001531DB">
        <w:rPr>
          <w:rFonts w:cs="Sylfaen"/>
          <w:b/>
          <w:lang w:val="hy-AM"/>
        </w:rPr>
        <w:t>ՀՀ օրենքների նախագծեր</w:t>
      </w:r>
      <w:r w:rsidRPr="001531DB">
        <w:rPr>
          <w:rFonts w:cs="Sylfaen"/>
          <w:b/>
        </w:rPr>
        <w:t>ի</w:t>
      </w:r>
      <w:r w:rsidRPr="001531DB">
        <w:rPr>
          <w:b/>
        </w:rPr>
        <w:t xml:space="preserve"> վերաբերյալ առաջարկությունների և դիտողությունների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3051"/>
        <w:gridCol w:w="4743"/>
      </w:tblGrid>
      <w:tr w:rsidR="004F7BBF" w:rsidRPr="001531DB" w:rsidTr="001531DB">
        <w:tc>
          <w:tcPr>
            <w:tcW w:w="817" w:type="dxa"/>
          </w:tcPr>
          <w:p w:rsidR="00BC7832" w:rsidRPr="001531DB" w:rsidRDefault="00BC7832" w:rsidP="00BC7832">
            <w:pPr>
              <w:jc w:val="center"/>
              <w:rPr>
                <w:lang w:val="hy-AM"/>
              </w:rPr>
            </w:pPr>
            <w:r w:rsidRPr="001531DB">
              <w:rPr>
                <w:lang w:val="hy-AM"/>
              </w:rPr>
              <w:t>N</w:t>
            </w:r>
          </w:p>
        </w:tc>
        <w:tc>
          <w:tcPr>
            <w:tcW w:w="3971" w:type="dxa"/>
          </w:tcPr>
          <w:p w:rsidR="00BC7832" w:rsidRPr="001531DB" w:rsidRDefault="00BC7832" w:rsidP="00BC7832">
            <w:pPr>
              <w:jc w:val="center"/>
              <w:rPr>
                <w:lang w:val="hy-AM"/>
              </w:rPr>
            </w:pPr>
            <w:r w:rsidRPr="001531DB">
              <w:rPr>
                <w:lang w:val="hy-AM"/>
              </w:rPr>
              <w:t>Առաջարկության հեղինակը</w:t>
            </w:r>
          </w:p>
        </w:tc>
        <w:tc>
          <w:tcPr>
            <w:tcW w:w="3051" w:type="dxa"/>
          </w:tcPr>
          <w:p w:rsidR="00BC7832" w:rsidRPr="001531DB" w:rsidRDefault="00BC7832" w:rsidP="00BC7832">
            <w:pPr>
              <w:jc w:val="center"/>
              <w:rPr>
                <w:lang w:val="hy-AM"/>
              </w:rPr>
            </w:pPr>
            <w:r w:rsidRPr="001531DB">
              <w:rPr>
                <w:lang w:val="hy-AM"/>
              </w:rPr>
              <w:t>բովանդակությունը</w:t>
            </w:r>
          </w:p>
        </w:tc>
        <w:tc>
          <w:tcPr>
            <w:tcW w:w="4743" w:type="dxa"/>
          </w:tcPr>
          <w:p w:rsidR="00BC7832" w:rsidRPr="001531DB" w:rsidRDefault="00BC7832" w:rsidP="00BC7832">
            <w:pPr>
              <w:jc w:val="center"/>
              <w:rPr>
                <w:lang w:val="hy-AM"/>
              </w:rPr>
            </w:pPr>
            <w:r w:rsidRPr="001531DB">
              <w:rPr>
                <w:lang w:val="hy-AM"/>
              </w:rPr>
              <w:t>եզրակացություն</w:t>
            </w:r>
          </w:p>
        </w:tc>
      </w:tr>
      <w:tr w:rsidR="004F7BBF" w:rsidRPr="001531DB" w:rsidTr="001531DB">
        <w:tc>
          <w:tcPr>
            <w:tcW w:w="817" w:type="dxa"/>
          </w:tcPr>
          <w:p w:rsidR="00BC7832" w:rsidRPr="001531DB" w:rsidRDefault="00BC7832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1</w:t>
            </w:r>
            <w:r w:rsidR="004F7BBF" w:rsidRPr="001531DB">
              <w:rPr>
                <w:lang w:val="hy-AM"/>
              </w:rPr>
              <w:t>.</w:t>
            </w:r>
          </w:p>
        </w:tc>
        <w:tc>
          <w:tcPr>
            <w:tcW w:w="3971" w:type="dxa"/>
          </w:tcPr>
          <w:p w:rsidR="00BC7832" w:rsidRPr="001531DB" w:rsidRDefault="004F7BBF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ՀՀ նախագահի աշխատակազմ</w:t>
            </w:r>
          </w:p>
        </w:tc>
        <w:tc>
          <w:tcPr>
            <w:tcW w:w="3051" w:type="dxa"/>
          </w:tcPr>
          <w:p w:rsidR="00BC7832" w:rsidRPr="001531DB" w:rsidRDefault="004F7BBF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Նախագծերով սահմանված է, որ ղեկավար կամ նշանակալից մասնակից չեն կարող լինել դիտավորությամբ հանցագործության համար դատվածություն ունեցող անձը: Հարց է առաջանում, թե ինչու սահմանափակված չէ նշված դրույթը միայն տնտեսական համ ֆինանսական հանցագործություններով:</w:t>
            </w:r>
          </w:p>
        </w:tc>
        <w:tc>
          <w:tcPr>
            <w:tcW w:w="4743" w:type="dxa"/>
          </w:tcPr>
          <w:p w:rsidR="00BC7832" w:rsidRPr="001531DB" w:rsidRDefault="001531DB" w:rsidP="001531DB">
            <w:pPr>
              <w:jc w:val="both"/>
            </w:pPr>
            <w:r>
              <w:rPr>
                <w:lang w:val="hy-AM"/>
              </w:rPr>
              <w:t>ՀՀ կենտրոնական բանկի կողմից մանրամասն քննարկվել է Նախագծերի փաթեթում հանցագործությունների սահմանափակման հարցը: Այդուհանդերձ, հաշվի առնելով հարցի առնչությամբ ՖԱԹՖ հանձնարարականների պահանջները, դրանց իմպլեմենտացման միջազգային փորձը, ինչպես նաև ներպետական այլ ոլորտային օրենքներում առկա համանման ձևակերպումները</w:t>
            </w:r>
            <w:r w:rsidRPr="001531DB">
              <w:rPr>
                <w:lang w:val="hy-AM"/>
              </w:rPr>
              <w:t xml:space="preserve"> (</w:t>
            </w:r>
            <w:r>
              <w:rPr>
                <w:lang w:val="hy-AM"/>
              </w:rPr>
              <w:t xml:space="preserve">Հանրային ծառայության մասին ՀՀ օրենք, </w:t>
            </w:r>
            <w:r w:rsidRPr="00EE240A">
              <w:rPr>
                <w:lang w:val="hy-AM"/>
              </w:rPr>
              <w:t>«Քաղաքացիական ծառայության մասին» ՀՀ օրենք</w:t>
            </w:r>
            <w:r>
              <w:rPr>
                <w:lang w:val="hy-AM"/>
              </w:rPr>
              <w:t xml:space="preserve"> և այլ</w:t>
            </w:r>
            <w:r w:rsidRPr="001531DB">
              <w:rPr>
                <w:lang w:val="hy-AM"/>
              </w:rPr>
              <w:t>)</w:t>
            </w:r>
            <w:r>
              <w:t>՝</w:t>
            </w:r>
            <w:r>
              <w:rPr>
                <w:lang w:val="hy-AM"/>
              </w:rPr>
              <w:t xml:space="preserve"> կարծում ենք հանցագործությունների տարանջատումը ըստ տեսակների նպատակահարմար չէ և իր հերթին </w:t>
            </w:r>
            <w:r>
              <w:rPr>
                <w:lang w:val="hy-AM"/>
              </w:rPr>
              <w:lastRenderedPageBreak/>
              <w:t>կհանգեցնի լրացուցիչ տարընկալումների:</w:t>
            </w:r>
          </w:p>
        </w:tc>
      </w:tr>
      <w:tr w:rsidR="002F045C" w:rsidRPr="001531DB" w:rsidTr="001531DB">
        <w:tc>
          <w:tcPr>
            <w:tcW w:w="817" w:type="dxa"/>
          </w:tcPr>
          <w:p w:rsidR="00BC7832" w:rsidRPr="001531DB" w:rsidRDefault="004F7BBF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lastRenderedPageBreak/>
              <w:t>2.</w:t>
            </w:r>
          </w:p>
        </w:tc>
        <w:tc>
          <w:tcPr>
            <w:tcW w:w="3971" w:type="dxa"/>
          </w:tcPr>
          <w:p w:rsidR="00BC7832" w:rsidRPr="001531DB" w:rsidRDefault="004F7BBF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ՀՀ կառավարության աշխտակազմ</w:t>
            </w:r>
          </w:p>
        </w:tc>
        <w:tc>
          <w:tcPr>
            <w:tcW w:w="3051" w:type="dxa"/>
          </w:tcPr>
          <w:p w:rsidR="00BC7832" w:rsidRPr="001531DB" w:rsidRDefault="004F7BBF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 xml:space="preserve">Նախագծերով սահմանվել է, որ այդպիսի հանցագործության համար դատվածությունը պետք է հանված կամ մարված լինի: Ինչու չենք սահմանափակվում միայն </w:t>
            </w:r>
            <w:r w:rsidR="00CB2ABB" w:rsidRPr="001531DB">
              <w:rPr>
                <w:lang w:val="hy-AM"/>
              </w:rPr>
              <w:t>պատիճը կրելու ժամանակահատվածով: Չէ որ դրանից հետո անձն ազատության մեջ է գտնվում և կարող է լինել ղեկավար կամ նլանակալից մասնակից:</w:t>
            </w:r>
          </w:p>
        </w:tc>
        <w:tc>
          <w:tcPr>
            <w:tcW w:w="4743" w:type="dxa"/>
          </w:tcPr>
          <w:p w:rsidR="00BC7832" w:rsidRPr="001531DB" w:rsidRDefault="001531DB" w:rsidP="001531DB">
            <w:pPr>
              <w:jc w:val="both"/>
              <w:rPr>
                <w:lang w:val="hy-AM"/>
              </w:rPr>
            </w:pPr>
            <w:r>
              <w:t>Դ</w:t>
            </w:r>
            <w:r w:rsidR="00CB2ABB" w:rsidRPr="001531DB">
              <w:rPr>
                <w:lang w:val="hy-AM"/>
              </w:rPr>
              <w:t xml:space="preserve">ատվածության մարման ժամանակահատվածը անձի պատիժը կրելու հետևանքով նրա վարքագծի նկատմամբ պետության հսկողությունն է: Այդ ժամանակահատվածում անձը դեռևս լիարժեք չի համարվում </w:t>
            </w:r>
            <w:r w:rsidRPr="001531DB">
              <w:rPr>
                <w:lang w:val="hy-AM"/>
              </w:rPr>
              <w:t>հ</w:t>
            </w:r>
            <w:r w:rsidR="00CB2ABB" w:rsidRPr="001531DB">
              <w:rPr>
                <w:lang w:val="hy-AM"/>
              </w:rPr>
              <w:t xml:space="preserve">անցագործ չհանդիսացող, քանի որ քրեաիրավական առումով հանցագործի վարքագիծը հակված է </w:t>
            </w:r>
            <w:r w:rsidR="00BF6BAD" w:rsidRPr="001531DB">
              <w:rPr>
                <w:lang w:val="hy-AM"/>
              </w:rPr>
              <w:t>կ</w:t>
            </w:r>
            <w:r w:rsidRPr="001531DB">
              <w:rPr>
                <w:lang w:val="hy-AM"/>
              </w:rPr>
              <w:t>ր</w:t>
            </w:r>
            <w:r w:rsidR="00CB2ABB" w:rsidRPr="001531DB">
              <w:rPr>
                <w:lang w:val="hy-AM"/>
              </w:rPr>
              <w:t xml:space="preserve">կին անգամ քրեական օրենսգրքով արգելված արարք գործելուն: Այդ է պատճառը, որ մի շարք օրենքներով հանցագործություն կատարած անձի նկատմամբ </w:t>
            </w:r>
            <w:r w:rsidRPr="001531DB">
              <w:rPr>
                <w:lang w:val="hy-AM"/>
              </w:rPr>
              <w:t>պետությունն</w:t>
            </w:r>
            <w:r w:rsidR="00CB2ABB" w:rsidRPr="001531DB">
              <w:rPr>
                <w:lang w:val="hy-AM"/>
              </w:rPr>
              <w:t xml:space="preserve"> </w:t>
            </w:r>
            <w:r w:rsidR="00BF6BAD" w:rsidRPr="001531DB">
              <w:rPr>
                <w:lang w:val="hy-AM"/>
              </w:rPr>
              <w:t xml:space="preserve">ընդունում է, որ </w:t>
            </w:r>
            <w:r w:rsidRPr="001531DB">
              <w:rPr>
                <w:lang w:val="hy-AM"/>
              </w:rPr>
              <w:t>տվյալ</w:t>
            </w:r>
            <w:r w:rsidR="00BF6BAD" w:rsidRPr="001531DB">
              <w:rPr>
                <w:lang w:val="hy-AM"/>
              </w:rPr>
              <w:t xml:space="preserve"> անձն ուղղվել է </w:t>
            </w:r>
            <w:r w:rsidR="00CB2ABB" w:rsidRPr="001531DB">
              <w:rPr>
                <w:lang w:val="hy-AM"/>
              </w:rPr>
              <w:t>միայն դատվածությունը հանված կամ մարված լինելու դեպքում:</w:t>
            </w:r>
            <w:r w:rsidR="00BF6BAD" w:rsidRPr="001531DB">
              <w:rPr>
                <w:lang w:val="hy-AM"/>
              </w:rPr>
              <w:t xml:space="preserve"> Տես «Հանրային ծառայության մասին» ՀՀ օրենք, «Քաղաքացիական ծառայության մասին» ՀՀ օրենք և այլն:</w:t>
            </w:r>
            <w:r w:rsidR="00CB2ABB" w:rsidRPr="001531DB">
              <w:rPr>
                <w:lang w:val="hy-AM"/>
              </w:rPr>
              <w:t xml:space="preserve"> </w:t>
            </w:r>
          </w:p>
        </w:tc>
      </w:tr>
      <w:tr w:rsidR="002F045C" w:rsidRPr="001531DB" w:rsidTr="001531DB">
        <w:tc>
          <w:tcPr>
            <w:tcW w:w="817" w:type="dxa"/>
          </w:tcPr>
          <w:p w:rsidR="002F045C" w:rsidRPr="001531DB" w:rsidRDefault="002F045C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3</w:t>
            </w:r>
          </w:p>
        </w:tc>
        <w:tc>
          <w:tcPr>
            <w:tcW w:w="3971" w:type="dxa"/>
          </w:tcPr>
          <w:p w:rsidR="002F045C" w:rsidRPr="001531DB" w:rsidRDefault="002F045C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>ՀՀ կառավարության աշխատակազմ</w:t>
            </w:r>
          </w:p>
        </w:tc>
        <w:tc>
          <w:tcPr>
            <w:tcW w:w="3051" w:type="dxa"/>
          </w:tcPr>
          <w:p w:rsidR="002F045C" w:rsidRPr="001531DB" w:rsidRDefault="002F045C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t xml:space="preserve">ՀՀ կառավարությունը առաջարկել է հանել նշանակալից մասնակիցների կողմից դիտավորությամբ կատարված հանցագործության </w:t>
            </w:r>
            <w:r w:rsidRPr="001531DB">
              <w:rPr>
                <w:lang w:val="hy-AM"/>
              </w:rPr>
              <w:lastRenderedPageBreak/>
              <w:t xml:space="preserve">կասկածյալ, մեղադրյալ և ամբաստանյալ լինելու չլինելու վերաբերյալ դրույթները: </w:t>
            </w:r>
          </w:p>
        </w:tc>
        <w:tc>
          <w:tcPr>
            <w:tcW w:w="4743" w:type="dxa"/>
          </w:tcPr>
          <w:p w:rsidR="002F045C" w:rsidRPr="001531DB" w:rsidRDefault="002F045C" w:rsidP="001531DB">
            <w:pPr>
              <w:jc w:val="both"/>
              <w:rPr>
                <w:lang w:val="hy-AM"/>
              </w:rPr>
            </w:pPr>
            <w:r w:rsidRPr="001531DB">
              <w:rPr>
                <w:lang w:val="hy-AM"/>
              </w:rPr>
              <w:lastRenderedPageBreak/>
              <w:t xml:space="preserve">Ընդունելի է: ՀՀ կենտրոնական բանկը ի լրումն գրությամբ ՀՀ կառավարություն է ներկայացնում այդ դրույթները հանած Նախագծերի լրամշակված տարբերակները: </w:t>
            </w:r>
          </w:p>
        </w:tc>
      </w:tr>
    </w:tbl>
    <w:p w:rsidR="00BC7832" w:rsidRPr="001531DB" w:rsidRDefault="00BC7832" w:rsidP="001531DB">
      <w:pPr>
        <w:spacing w:after="0"/>
        <w:jc w:val="both"/>
        <w:rPr>
          <w:lang w:val="hy-AM"/>
        </w:rPr>
      </w:pPr>
    </w:p>
    <w:p w:rsidR="00A1693F" w:rsidRPr="004F7BBF" w:rsidRDefault="00A1693F"/>
    <w:sectPr w:rsidR="00A1693F" w:rsidRPr="004F7BBF" w:rsidSect="001531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92"/>
    <w:rsid w:val="001531DB"/>
    <w:rsid w:val="002F045C"/>
    <w:rsid w:val="004F7BBF"/>
    <w:rsid w:val="00A1693F"/>
    <w:rsid w:val="00AB6116"/>
    <w:rsid w:val="00B1425F"/>
    <w:rsid w:val="00BC7832"/>
    <w:rsid w:val="00BF6BAD"/>
    <w:rsid w:val="00C8679B"/>
    <w:rsid w:val="00CB2ABB"/>
    <w:rsid w:val="00DA7292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2018-01-24T05:45:00Z</dcterms:created>
  <dcterms:modified xsi:type="dcterms:W3CDTF">2018-02-12T06:10:00Z</dcterms:modified>
</cp:coreProperties>
</file>