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99" w:rsidRPr="00FA2ADE" w:rsidRDefault="006D6F99" w:rsidP="006D6F99">
      <w:pPr>
        <w:spacing w:after="0" w:line="360" w:lineRule="auto"/>
        <w:jc w:val="center"/>
        <w:rPr>
          <w:rFonts w:ascii="GHEA Grapalat" w:hAnsi="GHEA Grapalat" w:cs="Sylfaen"/>
          <w:b/>
          <w:lang w:val="hy-AM"/>
        </w:rPr>
      </w:pPr>
      <w:r w:rsidRPr="00FA2ADE">
        <w:rPr>
          <w:rFonts w:ascii="GHEA Grapalat" w:hAnsi="GHEA Grapalat" w:cs="Sylfaen"/>
          <w:b/>
          <w:lang w:val="hy-AM"/>
        </w:rPr>
        <w:t>ՏԵՂԵԿԱՆՔ</w:t>
      </w:r>
    </w:p>
    <w:p w:rsidR="006D6F99" w:rsidRPr="00FA2ADE" w:rsidRDefault="006D6F99" w:rsidP="006D6F99">
      <w:pPr>
        <w:spacing w:after="0" w:line="360" w:lineRule="auto"/>
        <w:jc w:val="center"/>
        <w:rPr>
          <w:rFonts w:ascii="GHEA Grapalat" w:hAnsi="GHEA Grapalat"/>
          <w:b/>
          <w:lang w:val="hy-AM"/>
        </w:rPr>
      </w:pPr>
      <w:r w:rsidRPr="00FA2ADE">
        <w:rPr>
          <w:rFonts w:ascii="GHEA Grapalat" w:hAnsi="GHEA Grapalat"/>
          <w:b/>
          <w:lang w:val="hy-AM"/>
        </w:rPr>
        <w:t>«</w:t>
      </w:r>
      <w:r>
        <w:rPr>
          <w:rFonts w:ascii="GHEA Grapalat" w:hAnsi="GHEA Grapalat"/>
          <w:b/>
        </w:rPr>
        <w:t>Օսմանյանը և Ամիրաղյանն</w:t>
      </w:r>
      <w:r w:rsidRPr="00FA2ADE">
        <w:rPr>
          <w:rFonts w:ascii="GHEA Grapalat" w:hAnsi="GHEA Grapalat"/>
          <w:b/>
          <w:lang w:val="hy-AM"/>
        </w:rPr>
        <w:t xml:space="preserve"> ընդդեմ Հայաստանի» գործով (թիվ </w:t>
      </w:r>
      <w:r w:rsidRPr="00A75363">
        <w:rPr>
          <w:rFonts w:ascii="GHEA Grapalat" w:hAnsi="GHEA Grapalat"/>
          <w:b/>
          <w:color w:val="000000"/>
        </w:rPr>
        <w:t>71306/1</w:t>
      </w:r>
      <w:r w:rsidR="005B0F95">
        <w:rPr>
          <w:rFonts w:ascii="GHEA Grapalat" w:hAnsi="GHEA Grapalat"/>
          <w:b/>
          <w:color w:val="000000"/>
        </w:rPr>
        <w:t xml:space="preserve">1 </w:t>
      </w:r>
      <w:r w:rsidRPr="00FA2ADE">
        <w:rPr>
          <w:rFonts w:ascii="GHEA Grapalat" w:hAnsi="GHEA Grapalat"/>
          <w:b/>
          <w:lang w:val="hy-AM"/>
        </w:rPr>
        <w:t>գանգատ)</w:t>
      </w:r>
    </w:p>
    <w:p w:rsidR="006D6F99" w:rsidRPr="00FA2ADE" w:rsidRDefault="006D6F99" w:rsidP="006D6F99">
      <w:pPr>
        <w:spacing w:after="0" w:line="360" w:lineRule="auto"/>
        <w:jc w:val="center"/>
        <w:rPr>
          <w:rFonts w:ascii="GHEA Grapalat" w:hAnsi="GHEA Grapalat"/>
          <w:b/>
          <w:lang w:val="hy-AM"/>
        </w:rPr>
      </w:pPr>
      <w:r w:rsidRPr="00FA2ADE">
        <w:rPr>
          <w:rFonts w:ascii="GHEA Grapalat" w:hAnsi="GHEA Grapalat"/>
          <w:b/>
          <w:lang w:val="hy-AM"/>
        </w:rPr>
        <w:t>Մարդու իրավունքների եվրոպական դատարանի կայացրած վճռի վերաբերյալ</w:t>
      </w:r>
    </w:p>
    <w:p w:rsidR="00A75363" w:rsidRDefault="00A75363" w:rsidP="00A75363">
      <w:pPr>
        <w:spacing w:after="0" w:line="360" w:lineRule="auto"/>
        <w:jc w:val="center"/>
        <w:rPr>
          <w:rFonts w:ascii="GHEA Grapalat" w:hAnsi="GHEA Grapalat"/>
          <w:b/>
        </w:rPr>
      </w:pPr>
      <w:r>
        <w:rPr>
          <w:rFonts w:ascii="GHEA Grapalat" w:hAnsi="GHEA Grapalat"/>
          <w:b/>
          <w:lang w:val="hy-AM"/>
        </w:rPr>
        <w:t xml:space="preserve"> </w:t>
      </w:r>
    </w:p>
    <w:p w:rsidR="00A75363" w:rsidRDefault="00A75363" w:rsidP="00A75363">
      <w:pPr>
        <w:spacing w:after="0" w:line="360" w:lineRule="auto"/>
        <w:jc w:val="center"/>
        <w:rPr>
          <w:rFonts w:ascii="GHEA Grapalat" w:hAnsi="GHEA Grapalat"/>
          <w:b/>
          <w:lang w:val="hy-AM"/>
        </w:rPr>
      </w:pPr>
    </w:p>
    <w:p w:rsidR="00A75363" w:rsidRDefault="00A75363" w:rsidP="00A75363">
      <w:pPr>
        <w:spacing w:line="360" w:lineRule="auto"/>
        <w:ind w:firstLine="567"/>
        <w:rPr>
          <w:rFonts w:ascii="GHEA Grapalat" w:hAnsi="GHEA Grapalat"/>
          <w:b/>
          <w:lang w:val="hy-AM"/>
        </w:rPr>
      </w:pPr>
      <w:r>
        <w:rPr>
          <w:rFonts w:ascii="GHEA Grapalat" w:hAnsi="GHEA Grapalat"/>
          <w:b/>
          <w:lang w:val="hy-AM"/>
        </w:rPr>
        <w:t>Գործի ելակետային տվյալները</w:t>
      </w:r>
    </w:p>
    <w:p w:rsidR="00A75363" w:rsidRDefault="00A75363" w:rsidP="00A75363">
      <w:pPr>
        <w:spacing w:line="360" w:lineRule="auto"/>
        <w:ind w:firstLine="567"/>
        <w:jc w:val="both"/>
        <w:rPr>
          <w:rFonts w:ascii="GHEA Grapalat" w:hAnsi="GHEA Grapalat"/>
          <w:lang w:val="hy-AM"/>
        </w:rPr>
      </w:pPr>
      <w:r>
        <w:rPr>
          <w:rFonts w:ascii="GHEA Grapalat" w:hAnsi="GHEA Grapalat"/>
          <w:lang w:val="hy-AM"/>
        </w:rPr>
        <w:t xml:space="preserve">Մարդու իրավունքների եվրոպական դատարանը (այսուհետ՝ Եվրոպական դատարան) 2018 թվականի </w:t>
      </w:r>
      <w:r>
        <w:rPr>
          <w:rFonts w:ascii="GHEA Grapalat" w:hAnsi="GHEA Grapalat"/>
        </w:rPr>
        <w:t>հոկտեմբերի</w:t>
      </w:r>
      <w:r>
        <w:rPr>
          <w:rFonts w:ascii="GHEA Grapalat" w:hAnsi="GHEA Grapalat"/>
          <w:lang w:val="hy-AM"/>
        </w:rPr>
        <w:t xml:space="preserve"> </w:t>
      </w:r>
      <w:r>
        <w:rPr>
          <w:rFonts w:ascii="GHEA Grapalat" w:hAnsi="GHEA Grapalat"/>
        </w:rPr>
        <w:t>11</w:t>
      </w:r>
      <w:r>
        <w:rPr>
          <w:rFonts w:ascii="GHEA Grapalat" w:hAnsi="GHEA Grapalat"/>
          <w:lang w:val="hy-AM"/>
        </w:rPr>
        <w:t xml:space="preserve">-ին հրապարակել է </w:t>
      </w:r>
      <w:r w:rsidRPr="00A75363">
        <w:rPr>
          <w:rFonts w:ascii="GHEA Grapalat" w:hAnsi="GHEA Grapalat"/>
          <w:i/>
          <w:lang w:val="hy-AM"/>
        </w:rPr>
        <w:t>«</w:t>
      </w:r>
      <w:r w:rsidRPr="00A75363">
        <w:rPr>
          <w:rFonts w:ascii="GHEA Grapalat" w:hAnsi="GHEA Grapalat"/>
          <w:i/>
        </w:rPr>
        <w:t>Օսմանյանը և Ամիրաղյանն</w:t>
      </w:r>
      <w:r w:rsidRPr="00A75363">
        <w:rPr>
          <w:rFonts w:ascii="GHEA Grapalat" w:hAnsi="GHEA Grapalat"/>
          <w:b/>
          <w:i/>
          <w:lang w:val="hy-AM"/>
        </w:rPr>
        <w:t xml:space="preserve"> </w:t>
      </w:r>
      <w:r>
        <w:rPr>
          <w:rFonts w:ascii="GHEA Grapalat" w:hAnsi="GHEA Grapalat"/>
          <w:i/>
          <w:lang w:val="hy-AM"/>
        </w:rPr>
        <w:t>ընդդեմ Հայաստանի»</w:t>
      </w:r>
      <w:r>
        <w:rPr>
          <w:rFonts w:ascii="GHEA Grapalat" w:hAnsi="GHEA Grapalat"/>
          <w:lang w:val="hy-AM"/>
        </w:rPr>
        <w:t xml:space="preserve"> գործով վճիռը, որով արձանագրել է Մարդու իրավունքների եվրոպական կոնվենցիայի</w:t>
      </w:r>
      <w:r>
        <w:rPr>
          <w:rFonts w:ascii="GHEA Grapalat" w:hAnsi="GHEA Grapalat"/>
        </w:rPr>
        <w:t>ն</w:t>
      </w:r>
      <w:r>
        <w:rPr>
          <w:rFonts w:ascii="GHEA Grapalat" w:hAnsi="GHEA Grapalat"/>
          <w:lang w:val="hy-AM"/>
        </w:rPr>
        <w:t xml:space="preserve"> (այսուհետ՝ Կոնվենցիա)</w:t>
      </w:r>
      <w:r>
        <w:rPr>
          <w:rFonts w:ascii="GHEA Grapalat" w:hAnsi="GHEA Grapalat"/>
        </w:rPr>
        <w:t xml:space="preserve"> կից</w:t>
      </w:r>
      <w:r w:rsidRPr="00A75363">
        <w:rPr>
          <w:rFonts w:ascii="GHEA Grapalat" w:hAnsi="GHEA Grapalat"/>
        </w:rPr>
        <w:t xml:space="preserve"> թիվ 1 արձանագրության 1-ին հոդվածի խախտում</w:t>
      </w:r>
      <w:r>
        <w:rPr>
          <w:rFonts w:ascii="GHEA Grapalat" w:hAnsi="GHEA Grapalat"/>
          <w:lang w:val="hy-AM"/>
        </w:rPr>
        <w:t xml:space="preserve">: </w:t>
      </w:r>
    </w:p>
    <w:p w:rsidR="00A75363" w:rsidRDefault="00A75363" w:rsidP="00A75363">
      <w:pPr>
        <w:spacing w:before="240" w:line="360" w:lineRule="auto"/>
        <w:ind w:firstLine="567"/>
        <w:rPr>
          <w:rFonts w:ascii="GHEA Grapalat" w:hAnsi="GHEA Grapalat"/>
          <w:b/>
          <w:lang w:val="hy-AM"/>
        </w:rPr>
      </w:pPr>
      <w:r>
        <w:rPr>
          <w:rFonts w:ascii="GHEA Grapalat" w:hAnsi="GHEA Grapalat"/>
          <w:b/>
          <w:lang w:val="hy-AM"/>
        </w:rPr>
        <w:t>Գործի փաստական հանգամանքները</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2007 թվականի</w:t>
      </w:r>
      <w:r>
        <w:rPr>
          <w:rFonts w:ascii="GHEA Grapalat" w:hAnsi="GHEA Grapalat"/>
        </w:rPr>
        <w:t>ն</w:t>
      </w:r>
      <w:r w:rsidRPr="00A75363">
        <w:rPr>
          <w:rFonts w:ascii="GHEA Grapalat" w:hAnsi="GHEA Grapalat"/>
        </w:rPr>
        <w:t xml:space="preserve"> Կառավարությունն ընդունել է «Հայաստանի Հանրապետության Լոռու մարզի Շնողի </w:t>
      </w:r>
      <w:r w:rsidR="00503208">
        <w:rPr>
          <w:rFonts w:ascii="GHEA Grapalat" w:hAnsi="GHEA Grapalat"/>
        </w:rPr>
        <w:t>և</w:t>
      </w:r>
      <w:r w:rsidRPr="00A75363">
        <w:rPr>
          <w:rFonts w:ascii="GHEA Grapalat" w:hAnsi="GHEA Grapalat"/>
        </w:rPr>
        <w:t xml:space="preserve"> Թեղուտի գյուղական համայնքների վարչական սահմաններում որոշ տարածքներում բացառիկ՝ գերակա հանրային շահ ճանաչելու </w:t>
      </w:r>
      <w:r w:rsidR="00503208">
        <w:rPr>
          <w:rFonts w:ascii="GHEA Grapalat" w:hAnsi="GHEA Grapalat"/>
        </w:rPr>
        <w:t>և</w:t>
      </w:r>
      <w:r w:rsidRPr="00A75363">
        <w:rPr>
          <w:rFonts w:ascii="GHEA Grapalat" w:hAnsi="GHEA Grapalat"/>
        </w:rPr>
        <w:t xml:space="preserve"> հողերի նպատակային նշանակությունը փոփոխելու մասին» թիվ 1279-Ն որոշումը։ </w:t>
      </w:r>
      <w:r w:rsidR="00F7487B" w:rsidRPr="00F7487B">
        <w:rPr>
          <w:rFonts w:ascii="GHEA Grapalat" w:hAnsi="GHEA Grapalat"/>
        </w:rPr>
        <w:t>Որոշման համաձայն՝ դրա հավելվածներում թվարկված հողատարածքների ձեռք բերող է համարվում «Թեղուտ» ՓԲԸ-ն։</w:t>
      </w:r>
      <w:r w:rsidR="00F7487B">
        <w:rPr>
          <w:rFonts w:ascii="GHEA Grapalat" w:hAnsi="GHEA Grapalat"/>
        </w:rPr>
        <w:t xml:space="preserve"> </w:t>
      </w:r>
      <w:r w:rsidRPr="00A75363">
        <w:rPr>
          <w:rFonts w:ascii="GHEA Grapalat" w:hAnsi="GHEA Grapalat"/>
        </w:rPr>
        <w:t xml:space="preserve">Դիմումատուներին պատկանող հողամասը թվարկված է այն հողատարածքների շարքում, որոնք համարվում են օտարման ենթակա գոտիներ։ </w:t>
      </w:r>
    </w:p>
    <w:p w:rsidR="00F7487B" w:rsidRDefault="00F7487B" w:rsidP="00A75363">
      <w:pPr>
        <w:spacing w:after="0" w:line="360" w:lineRule="auto"/>
        <w:ind w:firstLine="567"/>
        <w:jc w:val="both"/>
        <w:rPr>
          <w:rFonts w:ascii="GHEA Grapalat" w:hAnsi="GHEA Grapalat"/>
        </w:rPr>
      </w:pPr>
      <w:r w:rsidRPr="00F7487B">
        <w:rPr>
          <w:rFonts w:ascii="GHEA Grapalat" w:hAnsi="GHEA Grapalat"/>
        </w:rPr>
        <w:t>«Թեղուտ» ՓԲԸ-ի կողմից վարձված «Օլիվեր գրուպ» ՍՊԸ գնահատման գործակալությունը ներկայացրել է դիմումատուների հողամասի վերաբերյալ գնահատման եզրակացություն</w:t>
      </w:r>
      <w:r w:rsidR="00F9490F">
        <w:rPr>
          <w:rFonts w:ascii="GHEA Grapalat" w:hAnsi="GHEA Grapalat"/>
        </w:rPr>
        <w:t>, որի համաձայն</w:t>
      </w:r>
      <w:r w:rsidRPr="00F7487B">
        <w:rPr>
          <w:rFonts w:ascii="GHEA Grapalat" w:hAnsi="GHEA Grapalat"/>
        </w:rPr>
        <w:t xml:space="preserve"> </w:t>
      </w:r>
      <w:r w:rsidR="00F9490F">
        <w:rPr>
          <w:rFonts w:ascii="GHEA Grapalat" w:hAnsi="GHEA Grapalat"/>
        </w:rPr>
        <w:t>դ</w:t>
      </w:r>
      <w:r w:rsidRPr="00F7487B">
        <w:rPr>
          <w:rFonts w:ascii="GHEA Grapalat" w:hAnsi="GHEA Grapalat"/>
        </w:rPr>
        <w:t>իմումատուների հողամասի շուկայական արժեքը գնահատվել է 188 000 ՀՀ դրամ (մոտավորապես 409 եվրո):</w:t>
      </w:r>
    </w:p>
    <w:p w:rsidR="00F7487B" w:rsidRDefault="00A75363" w:rsidP="00F7487B">
      <w:pPr>
        <w:spacing w:after="0" w:line="360" w:lineRule="auto"/>
        <w:ind w:firstLine="567"/>
        <w:jc w:val="both"/>
        <w:rPr>
          <w:rFonts w:ascii="GHEA Grapalat" w:hAnsi="GHEA Grapalat"/>
        </w:rPr>
      </w:pPr>
      <w:r w:rsidRPr="00A75363">
        <w:rPr>
          <w:rFonts w:ascii="GHEA Grapalat" w:hAnsi="GHEA Grapalat"/>
        </w:rPr>
        <w:t>«Թեղուտ» ՓԲԸ-ն դիմումատուներին առաջարկել է գնել նրանց հողամասը 188 000 ՀՀ դրամով՝ գումարած լրացուցիչ 15%, ինչպես պահանջվում է օրենքով՝ վերջնական առաջարկի գումարը դարձնելով 216 000 ՀՀ դրամ (մոտավորապես 470 եվրո)։</w:t>
      </w:r>
    </w:p>
    <w:p w:rsidR="00A75363" w:rsidRDefault="00A75363" w:rsidP="00F7487B">
      <w:pPr>
        <w:spacing w:after="0" w:line="360" w:lineRule="auto"/>
        <w:ind w:firstLine="567"/>
        <w:jc w:val="both"/>
        <w:rPr>
          <w:rFonts w:ascii="GHEA Grapalat" w:hAnsi="GHEA Grapalat"/>
        </w:rPr>
      </w:pPr>
      <w:r w:rsidRPr="00A75363">
        <w:rPr>
          <w:rFonts w:ascii="GHEA Grapalat" w:hAnsi="GHEA Grapalat"/>
        </w:rPr>
        <w:t xml:space="preserve">Դիմումատուները չեն արձագանքել առաջարկին, քանի որ նրանց չի գոհացրել առաջարկվող փոխհատուցման գումարի չափը։ </w:t>
      </w:r>
    </w:p>
    <w:p w:rsidR="00F7487B" w:rsidRDefault="00C3160B" w:rsidP="00F7487B">
      <w:pPr>
        <w:spacing w:after="0" w:line="360" w:lineRule="auto"/>
        <w:ind w:firstLine="567"/>
        <w:jc w:val="both"/>
        <w:rPr>
          <w:rFonts w:ascii="GHEA Grapalat" w:hAnsi="GHEA Grapalat"/>
        </w:rPr>
      </w:pPr>
      <w:r>
        <w:rPr>
          <w:rFonts w:ascii="GHEA Grapalat" w:hAnsi="GHEA Grapalat"/>
        </w:rPr>
        <w:lastRenderedPageBreak/>
        <w:t xml:space="preserve">2008 թվականին </w:t>
      </w:r>
      <w:r w:rsidR="00F7487B" w:rsidRPr="00F7487B">
        <w:rPr>
          <w:rFonts w:ascii="GHEA Grapalat" w:hAnsi="GHEA Grapalat"/>
        </w:rPr>
        <w:t>«Թեղուտ» ՓԲԸ-ն դիմումատուների դեմ հայց է ներկայացրել Լոռու մարզի</w:t>
      </w:r>
      <w:r w:rsidR="009A2C07">
        <w:rPr>
          <w:rFonts w:ascii="GHEA Grapalat" w:hAnsi="GHEA Grapalat"/>
        </w:rPr>
        <w:t xml:space="preserve"> </w:t>
      </w:r>
      <w:r w:rsidR="00F7487B" w:rsidRPr="00F7487B">
        <w:rPr>
          <w:rFonts w:ascii="GHEA Grapalat" w:hAnsi="GHEA Grapalat"/>
        </w:rPr>
        <w:t xml:space="preserve">ընդհանուր իրավասության դատարան՝ պահանջելով նրանց պարտավորեցնել, որ ստորագրեն պետության կարիքների համար իրենց գույքը վերցնելու մասին համաձայնագիրը։ </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Վարույթի ընթացքում «Թեղուտ» ՓԲԸ-ն ներկայացրել է դիմումատուների գույքի վերաբերյալ գնահատման եզրակացության ուղղված տարբերակը՝ նշելով, որ «Օլիվեր գրուպ» ՍՊԸ-ն կատարել է որոշ ուղղումներ</w:t>
      </w:r>
      <w:r w:rsidR="00C3160B">
        <w:rPr>
          <w:rFonts w:ascii="GHEA Grapalat" w:hAnsi="GHEA Grapalat"/>
        </w:rPr>
        <w:t xml:space="preserve">: </w:t>
      </w:r>
      <w:r w:rsidRPr="00A75363">
        <w:rPr>
          <w:rFonts w:ascii="GHEA Grapalat" w:hAnsi="GHEA Grapalat"/>
        </w:rPr>
        <w:t>Այսպիսով, փոխհատուցման վերջնական գումարը՝ օրենքով պահանջվող լրացուցիչ 15%-ի հետ, կազմում էր 223 100 ՀՀ դրամ (մոտավորապես 485 եվրո)։</w:t>
      </w:r>
    </w:p>
    <w:p w:rsidR="00A75363" w:rsidRDefault="00C3160B" w:rsidP="00A75363">
      <w:pPr>
        <w:spacing w:after="0" w:line="360" w:lineRule="auto"/>
        <w:ind w:firstLine="567"/>
        <w:jc w:val="both"/>
        <w:rPr>
          <w:rFonts w:ascii="GHEA Grapalat" w:hAnsi="GHEA Grapalat"/>
        </w:rPr>
      </w:pPr>
      <w:r>
        <w:rPr>
          <w:rFonts w:ascii="GHEA Grapalat" w:hAnsi="GHEA Grapalat"/>
        </w:rPr>
        <w:t>Ա</w:t>
      </w:r>
      <w:r w:rsidR="009A2C07">
        <w:rPr>
          <w:rFonts w:ascii="GHEA Grapalat" w:hAnsi="GHEA Grapalat"/>
        </w:rPr>
        <w:t>ռաջին ատյանի</w:t>
      </w:r>
      <w:r w:rsidR="009A2C07" w:rsidRPr="00A75363">
        <w:rPr>
          <w:rFonts w:ascii="GHEA Grapalat" w:hAnsi="GHEA Grapalat"/>
        </w:rPr>
        <w:t xml:space="preserve"> </w:t>
      </w:r>
      <w:r w:rsidR="00A75363" w:rsidRPr="00A75363">
        <w:rPr>
          <w:rFonts w:ascii="GHEA Grapalat" w:hAnsi="GHEA Grapalat"/>
        </w:rPr>
        <w:t>դատարանը բավարարել է «Թեղուտ» ՓԲԸ-ի պահանջը՝ դիմումատուներին տրամադրելով ընդհանուր 223 100 ՀՀ դրամ փոխհատուցում։</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Դիմումատուները ներկայացրել են վերաքննիչ բողոք՝ նշելով, որ փոխհատուցման գումարը բավարար չէ։ Նրանք նա</w:t>
      </w:r>
      <w:r w:rsidR="00503208">
        <w:rPr>
          <w:rFonts w:ascii="GHEA Grapalat" w:hAnsi="GHEA Grapalat"/>
        </w:rPr>
        <w:t>և</w:t>
      </w:r>
      <w:r w:rsidRPr="00A75363">
        <w:rPr>
          <w:rFonts w:ascii="GHEA Grapalat" w:hAnsi="GHEA Grapalat"/>
        </w:rPr>
        <w:t xml:space="preserve"> պնդել են, որ </w:t>
      </w:r>
      <w:r w:rsidR="009A2C07">
        <w:rPr>
          <w:rFonts w:ascii="GHEA Grapalat" w:hAnsi="GHEA Grapalat"/>
        </w:rPr>
        <w:t>առաջին ատյանի</w:t>
      </w:r>
      <w:r w:rsidR="009A2C07" w:rsidRPr="00A75363">
        <w:rPr>
          <w:rFonts w:ascii="GHEA Grapalat" w:hAnsi="GHEA Grapalat"/>
        </w:rPr>
        <w:t xml:space="preserve"> </w:t>
      </w:r>
      <w:r w:rsidRPr="00A75363">
        <w:rPr>
          <w:rFonts w:ascii="GHEA Grapalat" w:hAnsi="GHEA Grapalat"/>
        </w:rPr>
        <w:t>դատարանը պետք է իրացներ փորձաքննություն նշանակելու իր հայեցողական լիազորությունը։</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 xml:space="preserve">Վերաքննիչ քաղաքացիական դատարանը բեկանել է </w:t>
      </w:r>
      <w:r w:rsidR="009A2C07">
        <w:rPr>
          <w:rFonts w:ascii="GHEA Grapalat" w:hAnsi="GHEA Grapalat"/>
        </w:rPr>
        <w:t>առաջին ատյանի</w:t>
      </w:r>
      <w:r w:rsidR="009A2C07" w:rsidRPr="00A75363">
        <w:rPr>
          <w:rFonts w:ascii="GHEA Grapalat" w:hAnsi="GHEA Grapalat"/>
        </w:rPr>
        <w:t xml:space="preserve"> </w:t>
      </w:r>
      <w:r w:rsidRPr="00A75363">
        <w:rPr>
          <w:rFonts w:ascii="GHEA Grapalat" w:hAnsi="GHEA Grapalat"/>
        </w:rPr>
        <w:t xml:space="preserve">դատարանի վճիռը՝ նշելով, որ այն պետք է բավարարեր դիմումատուների պահանջը՝ նշանակելով դատական փորձաքննություն՝ գույքի շուկայական արժեքը որոշելու համար։ Գործը վերադարձվել է </w:t>
      </w:r>
      <w:r w:rsidR="009A2C07">
        <w:rPr>
          <w:rFonts w:ascii="GHEA Grapalat" w:hAnsi="GHEA Grapalat"/>
        </w:rPr>
        <w:t>առաջին ատյանի</w:t>
      </w:r>
      <w:r w:rsidR="009A2C07" w:rsidRPr="00A75363">
        <w:rPr>
          <w:rFonts w:ascii="GHEA Grapalat" w:hAnsi="GHEA Grapalat"/>
        </w:rPr>
        <w:t xml:space="preserve"> </w:t>
      </w:r>
      <w:r w:rsidRPr="00A75363">
        <w:rPr>
          <w:rFonts w:ascii="GHEA Grapalat" w:hAnsi="GHEA Grapalat"/>
        </w:rPr>
        <w:t>դատարան։</w:t>
      </w:r>
    </w:p>
    <w:p w:rsidR="009A2C07" w:rsidRDefault="00C3160B" w:rsidP="00A75363">
      <w:pPr>
        <w:spacing w:after="0" w:line="360" w:lineRule="auto"/>
        <w:ind w:firstLine="567"/>
        <w:jc w:val="both"/>
        <w:rPr>
          <w:rFonts w:ascii="GHEA Grapalat" w:hAnsi="GHEA Grapalat"/>
        </w:rPr>
      </w:pPr>
      <w:r>
        <w:rPr>
          <w:rFonts w:ascii="GHEA Grapalat" w:hAnsi="GHEA Grapalat"/>
        </w:rPr>
        <w:t>2010 թվականի հունվարին ա</w:t>
      </w:r>
      <w:r w:rsidR="009A2C07">
        <w:rPr>
          <w:rFonts w:ascii="GHEA Grapalat" w:hAnsi="GHEA Grapalat"/>
        </w:rPr>
        <w:t>ռաջին ատյանի</w:t>
      </w:r>
      <w:r w:rsidR="009A2C07" w:rsidRPr="00A75363">
        <w:rPr>
          <w:rFonts w:ascii="GHEA Grapalat" w:hAnsi="GHEA Grapalat"/>
        </w:rPr>
        <w:t xml:space="preserve"> </w:t>
      </w:r>
      <w:r w:rsidR="00A75363" w:rsidRPr="00A75363">
        <w:rPr>
          <w:rFonts w:ascii="GHEA Grapalat" w:hAnsi="GHEA Grapalat"/>
        </w:rPr>
        <w:t xml:space="preserve">դատարանը նշանակել է դատական փորձաքննություն՝ դիմումատուների հողամասի, այդ թվում՝ անշարժ գույքի կամ, առկայության դեպքում, բարելավումների շուկայական արժեքը որոշելու համար։ </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«Փորձագիտական կենտրոն» պետական ոչ առ</w:t>
      </w:r>
      <w:r w:rsidR="00503208">
        <w:rPr>
          <w:rFonts w:ascii="GHEA Grapalat" w:hAnsi="GHEA Grapalat"/>
        </w:rPr>
        <w:t>և</w:t>
      </w:r>
      <w:r w:rsidRPr="00A75363">
        <w:rPr>
          <w:rFonts w:ascii="GHEA Grapalat" w:hAnsi="GHEA Grapalat"/>
        </w:rPr>
        <w:t>տրային կազմակերպության փորձագետ</w:t>
      </w:r>
      <w:r w:rsidR="00C3160B">
        <w:rPr>
          <w:rFonts w:ascii="GHEA Grapalat" w:hAnsi="GHEA Grapalat"/>
        </w:rPr>
        <w:t xml:space="preserve">ը </w:t>
      </w:r>
      <w:r w:rsidRPr="00A75363">
        <w:rPr>
          <w:rFonts w:ascii="GHEA Grapalat" w:hAnsi="GHEA Grapalat"/>
        </w:rPr>
        <w:t>ներկայացրել է եզրակացություն, որի համաձայն գույքի շուկայական արժեքը գնահատվել է 230 000 ՀՀ դրամ (մոտավորապես 500 եվրո):</w:t>
      </w:r>
    </w:p>
    <w:p w:rsidR="00A75363" w:rsidRDefault="00A75363" w:rsidP="00A75363">
      <w:pPr>
        <w:spacing w:after="0" w:line="360" w:lineRule="auto"/>
        <w:ind w:firstLine="567"/>
        <w:jc w:val="both"/>
        <w:rPr>
          <w:rFonts w:ascii="GHEA Grapalat" w:hAnsi="GHEA Grapalat"/>
        </w:rPr>
      </w:pPr>
      <w:r w:rsidRPr="00A75363">
        <w:rPr>
          <w:rFonts w:ascii="GHEA Grapalat" w:hAnsi="GHEA Grapalat"/>
        </w:rPr>
        <w:t>2010 թվականի նոյեմբերի</w:t>
      </w:r>
      <w:r w:rsidR="009A2C07">
        <w:rPr>
          <w:rFonts w:ascii="GHEA Grapalat" w:hAnsi="GHEA Grapalat"/>
        </w:rPr>
        <w:t>ն առաջին ատյանի</w:t>
      </w:r>
      <w:r w:rsidR="009A2C07" w:rsidRPr="00A75363">
        <w:rPr>
          <w:rFonts w:ascii="GHEA Grapalat" w:hAnsi="GHEA Grapalat"/>
        </w:rPr>
        <w:t xml:space="preserve"> </w:t>
      </w:r>
      <w:r w:rsidRPr="00A75363">
        <w:rPr>
          <w:rFonts w:ascii="GHEA Grapalat" w:hAnsi="GHEA Grapalat"/>
        </w:rPr>
        <w:t>դատարանը նշանակել է լրացուցիչ դատական փորձաքննություն։ «Փորձաքննությունների ազգային բյուրո» պետական ոչ առ</w:t>
      </w:r>
      <w:r w:rsidR="00503208">
        <w:rPr>
          <w:rFonts w:ascii="GHEA Grapalat" w:hAnsi="GHEA Grapalat"/>
        </w:rPr>
        <w:t>և</w:t>
      </w:r>
      <w:r w:rsidRPr="00A75363">
        <w:rPr>
          <w:rFonts w:ascii="GHEA Grapalat" w:hAnsi="GHEA Grapalat"/>
        </w:rPr>
        <w:t>տրային կազմակերպության փորձագետ</w:t>
      </w:r>
      <w:r w:rsidR="00C1438C">
        <w:rPr>
          <w:rFonts w:ascii="GHEA Grapalat" w:hAnsi="GHEA Grapalat"/>
        </w:rPr>
        <w:t>ի կողմից</w:t>
      </w:r>
      <w:r w:rsidR="009A2C07">
        <w:rPr>
          <w:rFonts w:ascii="GHEA Grapalat" w:hAnsi="GHEA Grapalat"/>
        </w:rPr>
        <w:t xml:space="preserve"> </w:t>
      </w:r>
      <w:r w:rsidRPr="00A75363">
        <w:rPr>
          <w:rFonts w:ascii="GHEA Grapalat" w:hAnsi="GHEA Grapalat"/>
        </w:rPr>
        <w:t>ներկայաց</w:t>
      </w:r>
      <w:r w:rsidR="00C1438C">
        <w:rPr>
          <w:rFonts w:ascii="GHEA Grapalat" w:hAnsi="GHEA Grapalat"/>
        </w:rPr>
        <w:t>վ</w:t>
      </w:r>
      <w:r w:rsidRPr="00A75363">
        <w:rPr>
          <w:rFonts w:ascii="GHEA Grapalat" w:hAnsi="GHEA Grapalat"/>
        </w:rPr>
        <w:t xml:space="preserve">ել է </w:t>
      </w:r>
      <w:r w:rsidR="00C1438C">
        <w:rPr>
          <w:rFonts w:ascii="GHEA Grapalat" w:hAnsi="GHEA Grapalat"/>
        </w:rPr>
        <w:t>եզրակացություն</w:t>
      </w:r>
      <w:r w:rsidRPr="00A75363">
        <w:rPr>
          <w:rFonts w:ascii="GHEA Grapalat" w:hAnsi="GHEA Grapalat"/>
        </w:rPr>
        <w:t xml:space="preserve">, որի համաձայն դիմումատուների հողամասի շուկայական արժեքը գնահատվել է 209 100 ՀՀ դրամ (մոտավորապես 450 եվրո): </w:t>
      </w:r>
    </w:p>
    <w:p w:rsidR="00A75363" w:rsidRPr="009A2C07" w:rsidRDefault="00A75363" w:rsidP="00A75363">
      <w:pPr>
        <w:spacing w:after="0" w:line="360" w:lineRule="auto"/>
        <w:ind w:firstLine="567"/>
        <w:jc w:val="both"/>
        <w:rPr>
          <w:rFonts w:ascii="GHEA Grapalat" w:hAnsi="GHEA Grapalat"/>
        </w:rPr>
      </w:pPr>
      <w:r w:rsidRPr="009A2C07">
        <w:rPr>
          <w:rFonts w:ascii="GHEA Grapalat" w:hAnsi="GHEA Grapalat"/>
        </w:rPr>
        <w:lastRenderedPageBreak/>
        <w:t>2011 թվականի ապրիլի</w:t>
      </w:r>
      <w:r w:rsidR="009A2C07" w:rsidRPr="009A2C07">
        <w:rPr>
          <w:rFonts w:ascii="GHEA Grapalat" w:hAnsi="GHEA Grapalat"/>
        </w:rPr>
        <w:t xml:space="preserve">ն առաջին ատյանի </w:t>
      </w:r>
      <w:r w:rsidRPr="009A2C07">
        <w:rPr>
          <w:rFonts w:ascii="GHEA Grapalat" w:hAnsi="GHEA Grapalat"/>
        </w:rPr>
        <w:t>դատարանը բավարարել է «Թեղուտ» ՓԲԸ-ի պահանջը</w:t>
      </w:r>
      <w:r w:rsidR="00C1438C">
        <w:rPr>
          <w:rFonts w:ascii="GHEA Grapalat" w:hAnsi="GHEA Grapalat"/>
        </w:rPr>
        <w:t>՝</w:t>
      </w:r>
      <w:r w:rsidRPr="009A2C07">
        <w:rPr>
          <w:rFonts w:ascii="GHEA Grapalat" w:hAnsi="GHEA Grapalat"/>
        </w:rPr>
        <w:t xml:space="preserve"> դիմումատուներին շնորհե</w:t>
      </w:r>
      <w:r w:rsidR="00C1438C">
        <w:rPr>
          <w:rFonts w:ascii="GHEA Grapalat" w:hAnsi="GHEA Grapalat"/>
        </w:rPr>
        <w:t>ով</w:t>
      </w:r>
      <w:r w:rsidRPr="009A2C07">
        <w:rPr>
          <w:rFonts w:ascii="GHEA Grapalat" w:hAnsi="GHEA Grapalat"/>
        </w:rPr>
        <w:t xml:space="preserve"> 264 500 ՀՀ դրամ (մոտավորապես 575 եվրո)՝ հաշվի առնելով իր մոտ ունեցած երեք գնահատումների ամենաբարձր շուկայական արժեքը </w:t>
      </w:r>
      <w:r w:rsidR="00503208" w:rsidRPr="009A2C07">
        <w:rPr>
          <w:rFonts w:ascii="GHEA Grapalat" w:hAnsi="GHEA Grapalat"/>
        </w:rPr>
        <w:t>և</w:t>
      </w:r>
      <w:r w:rsidRPr="009A2C07">
        <w:rPr>
          <w:rFonts w:ascii="GHEA Grapalat" w:hAnsi="GHEA Grapalat"/>
        </w:rPr>
        <w:t xml:space="preserve"> դրան ավելացնելով օրենքով պահանջվող լրացուցիչ 15%-ը։</w:t>
      </w:r>
    </w:p>
    <w:p w:rsidR="009A2C07" w:rsidRDefault="00A75363" w:rsidP="00A75363">
      <w:pPr>
        <w:spacing w:after="0" w:line="360" w:lineRule="auto"/>
        <w:ind w:firstLine="567"/>
        <w:jc w:val="both"/>
        <w:rPr>
          <w:rFonts w:ascii="GHEA Grapalat" w:hAnsi="GHEA Grapalat"/>
        </w:rPr>
      </w:pPr>
      <w:r w:rsidRPr="00A75363">
        <w:rPr>
          <w:rFonts w:ascii="GHEA Grapalat" w:hAnsi="GHEA Grapalat"/>
        </w:rPr>
        <w:t>Դիմումատուները ներկայացրել են վերաքննիչ բողոք</w:t>
      </w:r>
      <w:r w:rsidR="00C1438C">
        <w:rPr>
          <w:rFonts w:ascii="GHEA Grapalat" w:hAnsi="GHEA Grapalat"/>
        </w:rPr>
        <w:t>:</w:t>
      </w:r>
      <w:r w:rsidR="009A2C07">
        <w:rPr>
          <w:rFonts w:ascii="GHEA Grapalat" w:hAnsi="GHEA Grapalat"/>
        </w:rPr>
        <w:t xml:space="preserve"> </w:t>
      </w:r>
      <w:r w:rsidRPr="00A75363">
        <w:rPr>
          <w:rFonts w:ascii="GHEA Grapalat" w:hAnsi="GHEA Grapalat"/>
        </w:rPr>
        <w:t xml:space="preserve">Վերաքննիչ քաղաքացիական դատարանն անփոփոխ է թողել </w:t>
      </w:r>
      <w:r w:rsidR="009A2C07">
        <w:rPr>
          <w:rFonts w:ascii="GHEA Grapalat" w:hAnsi="GHEA Grapalat"/>
        </w:rPr>
        <w:t>առաջին ատյանի</w:t>
      </w:r>
      <w:r w:rsidR="009A2C07" w:rsidRPr="00A75363">
        <w:rPr>
          <w:rFonts w:ascii="GHEA Grapalat" w:hAnsi="GHEA Grapalat"/>
        </w:rPr>
        <w:t xml:space="preserve"> </w:t>
      </w:r>
      <w:r w:rsidRPr="00A75363">
        <w:rPr>
          <w:rFonts w:ascii="GHEA Grapalat" w:hAnsi="GHEA Grapalat"/>
        </w:rPr>
        <w:t xml:space="preserve">դատարանի վճիռը։ </w:t>
      </w:r>
    </w:p>
    <w:p w:rsidR="00A75363" w:rsidRDefault="00A75363" w:rsidP="00C1438C">
      <w:pPr>
        <w:spacing w:after="0" w:line="360" w:lineRule="auto"/>
        <w:ind w:firstLine="567"/>
        <w:jc w:val="both"/>
        <w:rPr>
          <w:rFonts w:ascii="GHEA Grapalat" w:hAnsi="GHEA Grapalat"/>
        </w:rPr>
      </w:pPr>
      <w:r w:rsidRPr="00A75363">
        <w:rPr>
          <w:rFonts w:ascii="GHEA Grapalat" w:hAnsi="GHEA Grapalat"/>
        </w:rPr>
        <w:t>Դիմումատուները ներկայացրել են վճռաբեկ բողոք</w:t>
      </w:r>
      <w:r w:rsidR="00C1438C">
        <w:rPr>
          <w:rFonts w:ascii="GHEA Grapalat" w:hAnsi="GHEA Grapalat"/>
        </w:rPr>
        <w:t xml:space="preserve">, որը </w:t>
      </w:r>
      <w:r w:rsidRPr="00A75363">
        <w:rPr>
          <w:rFonts w:ascii="GHEA Grapalat" w:hAnsi="GHEA Grapalat"/>
        </w:rPr>
        <w:t>ճանաչ</w:t>
      </w:r>
      <w:r w:rsidR="00C1438C">
        <w:rPr>
          <w:rFonts w:ascii="GHEA Grapalat" w:hAnsi="GHEA Grapalat"/>
        </w:rPr>
        <w:t>վ</w:t>
      </w:r>
      <w:r w:rsidRPr="00A75363">
        <w:rPr>
          <w:rFonts w:ascii="GHEA Grapalat" w:hAnsi="GHEA Grapalat"/>
        </w:rPr>
        <w:t>ել է անընդունելի՝ հիմքերի բացակայության պատճառով։</w:t>
      </w:r>
    </w:p>
    <w:p w:rsidR="00C94035" w:rsidRPr="00A75363" w:rsidRDefault="00C94035" w:rsidP="00A75363">
      <w:pPr>
        <w:spacing w:after="0" w:line="360" w:lineRule="auto"/>
        <w:ind w:firstLine="567"/>
        <w:jc w:val="both"/>
        <w:rPr>
          <w:rFonts w:ascii="GHEA Grapalat" w:hAnsi="GHEA Grapalat"/>
        </w:rPr>
      </w:pPr>
    </w:p>
    <w:p w:rsidR="00A75363" w:rsidRDefault="00A75363" w:rsidP="00A75363">
      <w:pPr>
        <w:spacing w:line="360" w:lineRule="auto"/>
        <w:ind w:firstLine="567"/>
        <w:jc w:val="both"/>
        <w:rPr>
          <w:rFonts w:ascii="GHEA Grapalat" w:hAnsi="GHEA Grapalat"/>
          <w:lang w:val="hy-AM"/>
        </w:rPr>
      </w:pPr>
      <w:r>
        <w:rPr>
          <w:rFonts w:ascii="GHEA Grapalat" w:hAnsi="GHEA Grapalat"/>
          <w:b/>
          <w:lang w:val="hy-AM"/>
        </w:rPr>
        <w:t>Սույն գործով Եվրոպական դատարանն արձանագրել է</w:t>
      </w:r>
      <w:r>
        <w:rPr>
          <w:rFonts w:ascii="GHEA Grapalat" w:hAnsi="GHEA Grapalat" w:cs="Sylfaen"/>
          <w:lang w:val="hy-AM"/>
        </w:rPr>
        <w:t xml:space="preserve"> </w:t>
      </w:r>
      <w:r>
        <w:rPr>
          <w:rFonts w:ascii="GHEA Grapalat" w:hAnsi="GHEA Grapalat"/>
          <w:b/>
          <w:lang w:val="hy-AM"/>
        </w:rPr>
        <w:t>Կոնվենցիայի</w:t>
      </w:r>
      <w:r w:rsidR="00C94035">
        <w:rPr>
          <w:rFonts w:ascii="GHEA Grapalat" w:hAnsi="GHEA Grapalat"/>
          <w:b/>
        </w:rPr>
        <w:t>ն</w:t>
      </w:r>
      <w:r>
        <w:rPr>
          <w:rFonts w:ascii="GHEA Grapalat" w:hAnsi="GHEA Grapalat"/>
          <w:b/>
          <w:lang w:val="hy-AM"/>
        </w:rPr>
        <w:t xml:space="preserve"> </w:t>
      </w:r>
      <w:r w:rsidR="00C94035" w:rsidRPr="00C94035">
        <w:rPr>
          <w:rFonts w:ascii="GHEA Grapalat" w:hAnsi="GHEA Grapalat"/>
          <w:b/>
        </w:rPr>
        <w:t>կից թիվ 1 արձանագրության 1-ին հոդվածի խախտում</w:t>
      </w:r>
      <w:r>
        <w:rPr>
          <w:rFonts w:ascii="GHEA Grapalat" w:hAnsi="GHEA Grapalat"/>
          <w:lang w:val="hy-AM"/>
        </w:rPr>
        <w:t>:</w:t>
      </w:r>
    </w:p>
    <w:p w:rsidR="00C94035" w:rsidRDefault="00C94035" w:rsidP="00A75363">
      <w:pPr>
        <w:spacing w:after="0" w:line="360" w:lineRule="auto"/>
        <w:ind w:firstLine="567"/>
        <w:jc w:val="both"/>
        <w:rPr>
          <w:rFonts w:ascii="GHEA Grapalat" w:hAnsi="GHEA Grapalat"/>
        </w:rPr>
      </w:pPr>
      <w:r>
        <w:rPr>
          <w:rFonts w:ascii="GHEA Grapalat" w:hAnsi="GHEA Grapalat"/>
        </w:rPr>
        <w:t xml:space="preserve">Եվրոպական դատարանը նշել է, որ </w:t>
      </w:r>
      <w:r w:rsidR="009A2C07">
        <w:rPr>
          <w:rFonts w:ascii="GHEA Grapalat" w:hAnsi="GHEA Grapalat"/>
        </w:rPr>
        <w:t>Կոնվենցիային կից թ</w:t>
      </w:r>
      <w:r w:rsidRPr="00C94035">
        <w:rPr>
          <w:rFonts w:ascii="GHEA Grapalat" w:hAnsi="GHEA Grapalat"/>
        </w:rPr>
        <w:t>իվ 1 արձանագրության 1-ին հոդվածով պահանջվում է, որ ցանկացած միջամտություն պետք է ողջամտորեն համաչափ լինի հետապնդվող նպատակին</w:t>
      </w:r>
      <w:r>
        <w:rPr>
          <w:rFonts w:ascii="GHEA Grapalat" w:hAnsi="GHEA Grapalat"/>
        </w:rPr>
        <w:t>:</w:t>
      </w:r>
    </w:p>
    <w:p w:rsidR="00C94035" w:rsidRDefault="00C94035" w:rsidP="00A75363">
      <w:pPr>
        <w:spacing w:after="0" w:line="360" w:lineRule="auto"/>
        <w:ind w:firstLine="567"/>
        <w:jc w:val="both"/>
        <w:rPr>
          <w:rFonts w:ascii="GHEA Grapalat" w:hAnsi="GHEA Grapalat"/>
        </w:rPr>
      </w:pPr>
      <w:r w:rsidRPr="00C94035">
        <w:rPr>
          <w:rFonts w:ascii="GHEA Grapalat" w:hAnsi="GHEA Grapalat"/>
        </w:rPr>
        <w:t xml:space="preserve">Համապատասխան օրենսդրությամբ նախատեսված փոխհատուցման պայմանները հատուկ նշանակություն ունեն գնահատելու համար, թե արդյոք վիճարկվող միջոցառմամբ ապահովվում է անհրաժեշտ արդարացի հավասարակշռությունը </w:t>
      </w:r>
      <w:r w:rsidR="00503208">
        <w:rPr>
          <w:rFonts w:ascii="GHEA Grapalat" w:hAnsi="GHEA Grapalat"/>
        </w:rPr>
        <w:t>և</w:t>
      </w:r>
      <w:r w:rsidRPr="00C94035">
        <w:rPr>
          <w:rFonts w:ascii="GHEA Grapalat" w:hAnsi="GHEA Grapalat"/>
        </w:rPr>
        <w:t>, մասնավորապես, արդյոք այն անհամաչափ բեռ է առաջացնում դիմումատուների համար</w:t>
      </w:r>
      <w:r>
        <w:rPr>
          <w:rFonts w:ascii="GHEA Grapalat" w:hAnsi="GHEA Grapalat"/>
        </w:rPr>
        <w:t>:</w:t>
      </w:r>
    </w:p>
    <w:p w:rsidR="00C94035" w:rsidRDefault="009A2C07" w:rsidP="00A75363">
      <w:pPr>
        <w:spacing w:after="0" w:line="360" w:lineRule="auto"/>
        <w:ind w:firstLine="567"/>
        <w:jc w:val="both"/>
        <w:rPr>
          <w:rFonts w:ascii="GHEA Grapalat" w:hAnsi="GHEA Grapalat"/>
        </w:rPr>
      </w:pPr>
      <w:r>
        <w:rPr>
          <w:rFonts w:ascii="GHEA Grapalat" w:hAnsi="GHEA Grapalat"/>
        </w:rPr>
        <w:t>Եվրոպական դ</w:t>
      </w:r>
      <w:r w:rsidR="00C94035" w:rsidRPr="00C94035">
        <w:rPr>
          <w:rFonts w:ascii="GHEA Grapalat" w:hAnsi="GHEA Grapalat"/>
        </w:rPr>
        <w:t>ատարանը համար</w:t>
      </w:r>
      <w:r>
        <w:rPr>
          <w:rFonts w:ascii="GHEA Grapalat" w:hAnsi="GHEA Grapalat"/>
        </w:rPr>
        <w:t>ել</w:t>
      </w:r>
      <w:r w:rsidR="00C94035" w:rsidRPr="00C94035">
        <w:rPr>
          <w:rFonts w:ascii="GHEA Grapalat" w:hAnsi="GHEA Grapalat"/>
        </w:rPr>
        <w:t xml:space="preserve"> է, որ կարող են լինել այնպիսի իրավիճակներ, երբ տվյալ անշարժ գույքի շուկայական գինն արտահայտող փոխհատուցումը՝ նույնիսկ օրենքով սահմանված լրացուցիչ տոկոսի ավելացմամբ, չի համարվի բավարար փոխհատուցում՝ գույքից զրկելու դիմաց։ </w:t>
      </w:r>
      <w:r>
        <w:rPr>
          <w:rFonts w:ascii="GHEA Grapalat" w:hAnsi="GHEA Grapalat"/>
        </w:rPr>
        <w:t>Եվրոպական դ</w:t>
      </w:r>
      <w:r w:rsidR="00C94035" w:rsidRPr="00C94035">
        <w:rPr>
          <w:rFonts w:ascii="GHEA Grapalat" w:hAnsi="GHEA Grapalat"/>
        </w:rPr>
        <w:t xml:space="preserve">ատարանը </w:t>
      </w:r>
      <w:r>
        <w:rPr>
          <w:rFonts w:ascii="GHEA Grapalat" w:hAnsi="GHEA Grapalat"/>
        </w:rPr>
        <w:t>նշել</w:t>
      </w:r>
      <w:r w:rsidR="00C94035" w:rsidRPr="00C94035">
        <w:rPr>
          <w:rFonts w:ascii="GHEA Grapalat" w:hAnsi="GHEA Grapalat"/>
        </w:rPr>
        <w:t xml:space="preserve"> է, որ նման իրավիճակ կարող է առաջանալ, մասնավորապես, այն դեպքում, երբ անձը զրկվում է իր եկամտի հիմնական, եթե ոչ միակ աղբյուրից, </w:t>
      </w:r>
      <w:r w:rsidR="00503208">
        <w:rPr>
          <w:rFonts w:ascii="GHEA Grapalat" w:hAnsi="GHEA Grapalat"/>
        </w:rPr>
        <w:t>և</w:t>
      </w:r>
      <w:r w:rsidR="00C94035" w:rsidRPr="00C94035">
        <w:rPr>
          <w:rFonts w:ascii="GHEA Grapalat" w:hAnsi="GHEA Grapalat"/>
        </w:rPr>
        <w:t xml:space="preserve"> առաջարկվող փոխհատուցումը չի համապատասխանում այդ կորստին</w:t>
      </w:r>
      <w:r w:rsidR="00C94035">
        <w:rPr>
          <w:rFonts w:ascii="GHEA Grapalat" w:hAnsi="GHEA Grapalat"/>
        </w:rPr>
        <w:t>:</w:t>
      </w:r>
    </w:p>
    <w:p w:rsidR="00C3160B" w:rsidRDefault="00C94035" w:rsidP="00A75363">
      <w:pPr>
        <w:spacing w:after="0" w:line="360" w:lineRule="auto"/>
        <w:ind w:firstLine="567"/>
        <w:jc w:val="both"/>
        <w:rPr>
          <w:rFonts w:ascii="Sylfaen" w:hAnsi="Sylfaen" w:cs="Sylfaen"/>
        </w:rPr>
      </w:pPr>
      <w:r w:rsidRPr="00C94035">
        <w:rPr>
          <w:rFonts w:ascii="GHEA Grapalat" w:hAnsi="GHEA Grapalat"/>
        </w:rPr>
        <w:t>Սույն գործում դիմումատուները նշել են, որ որպես ընտանիք իրենք տնտեսապես կախված են եղել խնդրո առարկա հողից։ Այս փաստարկը չի հերքվել Կառավարության կողմից</w:t>
      </w:r>
      <w:r>
        <w:rPr>
          <w:rFonts w:ascii="GHEA Grapalat" w:hAnsi="GHEA Grapalat"/>
        </w:rPr>
        <w:t>:</w:t>
      </w:r>
      <w:r w:rsidRPr="00C94035">
        <w:rPr>
          <w:rFonts w:ascii="Sylfaen" w:hAnsi="Sylfaen" w:cs="Sylfaen"/>
        </w:rPr>
        <w:t xml:space="preserve"> </w:t>
      </w:r>
    </w:p>
    <w:p w:rsidR="00C94035" w:rsidRDefault="00C94035" w:rsidP="00A75363">
      <w:pPr>
        <w:spacing w:after="0" w:line="360" w:lineRule="auto"/>
        <w:ind w:firstLine="567"/>
        <w:jc w:val="both"/>
        <w:rPr>
          <w:rFonts w:ascii="GHEA Grapalat" w:hAnsi="GHEA Grapalat"/>
        </w:rPr>
      </w:pPr>
      <w:r w:rsidRPr="00C94035">
        <w:rPr>
          <w:rFonts w:ascii="GHEA Grapalat" w:hAnsi="GHEA Grapalat"/>
        </w:rPr>
        <w:lastRenderedPageBreak/>
        <w:t>Հարկ է նշել, որ այս հիմնական հայեցակետը, մասնավորապես այն, որ օտարման հետ</w:t>
      </w:r>
      <w:r w:rsidR="00503208">
        <w:rPr>
          <w:rFonts w:ascii="GHEA Grapalat" w:hAnsi="GHEA Grapalat"/>
        </w:rPr>
        <w:t>և</w:t>
      </w:r>
      <w:r w:rsidRPr="00C94035">
        <w:rPr>
          <w:rFonts w:ascii="GHEA Grapalat" w:hAnsi="GHEA Grapalat"/>
        </w:rPr>
        <w:t>անքով դիմումատուները կորցրել են իրենց եկամտի հիմնական աղբյուրը, հաշվի չի առնվել ներպետական</w:t>
      </w:r>
      <w:r w:rsidRPr="00C94035">
        <w:rPr>
          <w:rFonts w:ascii="Sylfaen" w:hAnsi="Sylfaen" w:cs="Sylfaen"/>
        </w:rPr>
        <w:t xml:space="preserve"> </w:t>
      </w:r>
      <w:r w:rsidRPr="00C94035">
        <w:rPr>
          <w:rFonts w:ascii="GHEA Grapalat" w:hAnsi="GHEA Grapalat"/>
        </w:rPr>
        <w:t>դատարանների կողմից՝ հատկացվող փոխհատուցման գումարի վերաբերյալ իրենց որոշումներում։ Դատարանները որոշել են, որ անկախ հանգամանքներից, դիմումատուներին պետք է տրամադրվի փոխհատուցում, որի չափը որոշվել է օտարման ենթակա տարածքում գտնվող անշարժ գույքի գների հիման վրա։ Նրանք չեն դիտարկել այն հարցը, թե արդյոք տրամադրվող փոխհատուցումը կծածկի դիմումատուների՝ ապրուստը հոգալու միջոցներից զրկվելու հետ կապված փաստացի կորուստը, կամ արդյոք այն բավարար էր, որպեսզի նրանք ձեռք բերեն համարժեք հող այն տարածքում, որտեղ նրանք ապրում էին:</w:t>
      </w:r>
    </w:p>
    <w:p w:rsidR="00C94035" w:rsidRDefault="00C94035" w:rsidP="00A75363">
      <w:pPr>
        <w:spacing w:after="0" w:line="360" w:lineRule="auto"/>
        <w:ind w:firstLine="567"/>
        <w:jc w:val="both"/>
        <w:rPr>
          <w:rFonts w:ascii="GHEA Grapalat" w:hAnsi="GHEA Grapalat"/>
        </w:rPr>
      </w:pPr>
      <w:r w:rsidRPr="00C94035">
        <w:rPr>
          <w:rFonts w:ascii="GHEA Grapalat" w:hAnsi="GHEA Grapalat"/>
        </w:rPr>
        <w:t xml:space="preserve">Ելնելով վերոնշյալից՝ </w:t>
      </w:r>
      <w:r w:rsidR="00C3160B">
        <w:rPr>
          <w:rFonts w:ascii="GHEA Grapalat" w:hAnsi="GHEA Grapalat"/>
        </w:rPr>
        <w:t>Եվրոպական դ</w:t>
      </w:r>
      <w:r w:rsidRPr="00C94035">
        <w:rPr>
          <w:rFonts w:ascii="GHEA Grapalat" w:hAnsi="GHEA Grapalat"/>
        </w:rPr>
        <w:t xml:space="preserve">ատարանը </w:t>
      </w:r>
      <w:r w:rsidR="00C3160B">
        <w:rPr>
          <w:rFonts w:ascii="GHEA Grapalat" w:hAnsi="GHEA Grapalat"/>
        </w:rPr>
        <w:t>գտել</w:t>
      </w:r>
      <w:r w:rsidRPr="00C94035">
        <w:rPr>
          <w:rFonts w:ascii="GHEA Grapalat" w:hAnsi="GHEA Grapalat"/>
        </w:rPr>
        <w:t xml:space="preserve"> է, որ դիմումատուները ստիպված են եղել առանձին ավելորդ բեռ կրել։ Հետ</w:t>
      </w:r>
      <w:r w:rsidR="00503208">
        <w:rPr>
          <w:rFonts w:ascii="GHEA Grapalat" w:hAnsi="GHEA Grapalat"/>
        </w:rPr>
        <w:t>և</w:t>
      </w:r>
      <w:r w:rsidRPr="00C94035">
        <w:rPr>
          <w:rFonts w:ascii="GHEA Grapalat" w:hAnsi="GHEA Grapalat"/>
        </w:rPr>
        <w:t>աբար, վիճարկվող օտարումն իրականացվել է Կոնվենցիայի</w:t>
      </w:r>
      <w:r w:rsidR="00BD5DC2">
        <w:rPr>
          <w:rFonts w:ascii="GHEA Grapalat" w:hAnsi="GHEA Grapalat"/>
        </w:rPr>
        <w:t>ն կից</w:t>
      </w:r>
      <w:r w:rsidRPr="00C94035">
        <w:rPr>
          <w:rFonts w:ascii="GHEA Grapalat" w:hAnsi="GHEA Grapalat"/>
        </w:rPr>
        <w:t xml:space="preserve"> թիվ 1 արձանագրության 1-ին հոդվածի խախտմամբ։</w:t>
      </w:r>
    </w:p>
    <w:p w:rsidR="00A75363" w:rsidRDefault="00A75363" w:rsidP="00A75363">
      <w:pPr>
        <w:spacing w:after="0" w:line="360" w:lineRule="auto"/>
        <w:ind w:firstLine="567"/>
        <w:jc w:val="both"/>
        <w:rPr>
          <w:rFonts w:ascii="GHEA Grapalat" w:hAnsi="GHEA Grapalat"/>
        </w:rPr>
      </w:pPr>
    </w:p>
    <w:p w:rsidR="00A75363" w:rsidRDefault="00A75363" w:rsidP="00A75363">
      <w:pPr>
        <w:spacing w:line="360" w:lineRule="auto"/>
        <w:ind w:firstLine="567"/>
        <w:jc w:val="both"/>
        <w:rPr>
          <w:rFonts w:ascii="GHEA Grapalat" w:hAnsi="GHEA Grapalat"/>
          <w:b/>
          <w:lang w:val="hy-AM"/>
        </w:rPr>
      </w:pPr>
      <w:r>
        <w:rPr>
          <w:rFonts w:ascii="GHEA Grapalat" w:hAnsi="GHEA Grapalat"/>
          <w:b/>
          <w:lang w:val="hy-AM"/>
        </w:rPr>
        <w:t>Արդարացի փոխհատուցում</w:t>
      </w:r>
    </w:p>
    <w:p w:rsidR="00A75363" w:rsidRDefault="00A75363" w:rsidP="00A75363">
      <w:pPr>
        <w:pStyle w:val="ECHRPara"/>
        <w:tabs>
          <w:tab w:val="left" w:pos="1134"/>
        </w:tabs>
        <w:spacing w:after="160" w:line="360" w:lineRule="auto"/>
        <w:ind w:firstLine="567"/>
        <w:rPr>
          <w:rFonts w:ascii="GHEA Grapalat" w:hAnsi="GHEA Grapalat"/>
          <w:sz w:val="22"/>
        </w:rPr>
      </w:pPr>
      <w:r>
        <w:rPr>
          <w:rFonts w:ascii="GHEA Grapalat" w:hAnsi="GHEA Grapalat"/>
          <w:b/>
          <w:sz w:val="22"/>
        </w:rPr>
        <w:t xml:space="preserve">Գործի քննության արդյունքում Եվրոպական դատարանը վճռել է </w:t>
      </w:r>
      <w:r>
        <w:rPr>
          <w:rFonts w:ascii="GHEA Grapalat" w:hAnsi="GHEA Grapalat"/>
          <w:b/>
          <w:sz w:val="22"/>
          <w:lang w:val="en-US"/>
        </w:rPr>
        <w:t xml:space="preserve"> </w:t>
      </w:r>
      <w:r>
        <w:rPr>
          <w:rFonts w:ascii="GHEA Grapalat" w:hAnsi="GHEA Grapalat"/>
          <w:b/>
          <w:sz w:val="22"/>
        </w:rPr>
        <w:t>դիմումատուների</w:t>
      </w:r>
      <w:r w:rsidR="00C94035">
        <w:rPr>
          <w:rFonts w:ascii="GHEA Grapalat" w:hAnsi="GHEA Grapalat"/>
          <w:b/>
          <w:sz w:val="22"/>
          <w:lang w:val="en-US"/>
        </w:rPr>
        <w:t>ն</w:t>
      </w:r>
      <w:r>
        <w:rPr>
          <w:rFonts w:ascii="GHEA Grapalat" w:hAnsi="GHEA Grapalat"/>
          <w:b/>
          <w:sz w:val="22"/>
        </w:rPr>
        <w:t xml:space="preserve"> շնորհել </w:t>
      </w:r>
      <w:r w:rsidR="00C94035">
        <w:rPr>
          <w:rFonts w:ascii="GHEA Grapalat" w:hAnsi="GHEA Grapalat"/>
          <w:b/>
          <w:sz w:val="22"/>
          <w:lang w:val="en-US"/>
        </w:rPr>
        <w:t>10,0</w:t>
      </w:r>
      <w:r>
        <w:rPr>
          <w:rFonts w:ascii="GHEA Grapalat" w:hAnsi="GHEA Grapalat"/>
          <w:b/>
          <w:sz w:val="22"/>
          <w:lang w:val="en-US"/>
        </w:rPr>
        <w:t>00</w:t>
      </w:r>
      <w:r>
        <w:rPr>
          <w:rFonts w:ascii="GHEA Grapalat" w:hAnsi="GHEA Grapalat"/>
          <w:b/>
          <w:sz w:val="22"/>
        </w:rPr>
        <w:t xml:space="preserve"> եվրո ոչ նյութական վնասի </w:t>
      </w:r>
      <w:r w:rsidR="00C94035">
        <w:rPr>
          <w:rFonts w:ascii="GHEA Grapalat" w:hAnsi="GHEA Grapalat"/>
          <w:b/>
          <w:sz w:val="22"/>
          <w:lang w:val="en-US"/>
        </w:rPr>
        <w:t xml:space="preserve">և 2,000 եվրո ծախսերի և ծախքերի </w:t>
      </w:r>
      <w:r>
        <w:rPr>
          <w:rFonts w:ascii="GHEA Grapalat" w:hAnsi="GHEA Grapalat"/>
          <w:b/>
          <w:sz w:val="22"/>
        </w:rPr>
        <w:t>դիմաց:</w:t>
      </w:r>
      <w:r>
        <w:rPr>
          <w:rFonts w:ascii="GHEA Grapalat" w:hAnsi="GHEA Grapalat"/>
          <w:sz w:val="22"/>
        </w:rPr>
        <w:t xml:space="preserve"> </w:t>
      </w:r>
    </w:p>
    <w:p w:rsidR="00A75363" w:rsidRDefault="00A75363" w:rsidP="00A75363">
      <w:pPr>
        <w:spacing w:line="360" w:lineRule="auto"/>
        <w:ind w:firstLine="567"/>
        <w:jc w:val="both"/>
        <w:rPr>
          <w:rFonts w:ascii="GHEA Grapalat" w:hAnsi="GHEA Grapalat"/>
          <w:lang w:val="hy-AM"/>
        </w:rPr>
      </w:pPr>
    </w:p>
    <w:p w:rsidR="00A75363" w:rsidRDefault="00A75363" w:rsidP="00A75363">
      <w:pPr>
        <w:spacing w:line="360" w:lineRule="auto"/>
        <w:ind w:firstLine="567"/>
        <w:jc w:val="both"/>
        <w:rPr>
          <w:rFonts w:ascii="GHEA Grapalat" w:hAnsi="GHEA Grapalat"/>
          <w:lang w:val="hy-AM"/>
        </w:rPr>
      </w:pPr>
    </w:p>
    <w:p w:rsidR="00A75363" w:rsidRDefault="00A75363" w:rsidP="00A75363"/>
    <w:p w:rsidR="00AA23C5" w:rsidRDefault="00AA23C5"/>
    <w:sectPr w:rsidR="00AA23C5" w:rsidSect="00AA23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75363"/>
    <w:rsid w:val="00100988"/>
    <w:rsid w:val="00503208"/>
    <w:rsid w:val="005B0F95"/>
    <w:rsid w:val="006C7DA2"/>
    <w:rsid w:val="006D6F99"/>
    <w:rsid w:val="007438C5"/>
    <w:rsid w:val="009A2C07"/>
    <w:rsid w:val="00A75363"/>
    <w:rsid w:val="00AA23C5"/>
    <w:rsid w:val="00BD10B5"/>
    <w:rsid w:val="00BD5DC2"/>
    <w:rsid w:val="00C1438C"/>
    <w:rsid w:val="00C171CC"/>
    <w:rsid w:val="00C3160B"/>
    <w:rsid w:val="00C94035"/>
    <w:rsid w:val="00CD2199"/>
    <w:rsid w:val="00D2447D"/>
    <w:rsid w:val="00F7487B"/>
    <w:rsid w:val="00F949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uParaChar">
    <w:name w:val="Ju_Para Char"/>
    <w:basedOn w:val="DefaultParagraphFont"/>
    <w:link w:val="ECHRPara"/>
    <w:locked/>
    <w:rsid w:val="00A75363"/>
    <w:rPr>
      <w:rFonts w:ascii="Calibri" w:eastAsia="Times New Roman" w:hAnsi="Calibri" w:cs="Times New Roman"/>
      <w:sz w:val="24"/>
      <w:lang w:val="hy-AM" w:eastAsia="hy-AM" w:bidi="hy-AM"/>
    </w:rPr>
  </w:style>
  <w:style w:type="paragraph" w:customStyle="1" w:styleId="ECHRPara">
    <w:name w:val="ECHR_Para"/>
    <w:aliases w:val="Ju_Para,Left,First line:  0 cm"/>
    <w:basedOn w:val="Normal"/>
    <w:link w:val="JuParaChar"/>
    <w:qFormat/>
    <w:rsid w:val="00A75363"/>
    <w:pPr>
      <w:spacing w:after="0" w:line="240" w:lineRule="auto"/>
      <w:ind w:firstLine="284"/>
      <w:jc w:val="both"/>
    </w:pPr>
    <w:rPr>
      <w:rFonts w:eastAsia="Times New Roman"/>
      <w:sz w:val="24"/>
      <w:lang w:val="hy-AM" w:eastAsia="hy-AM" w:bidi="hy-AM"/>
    </w:rPr>
  </w:style>
</w:styles>
</file>

<file path=word/webSettings.xml><?xml version="1.0" encoding="utf-8"?>
<w:webSettings xmlns:r="http://schemas.openxmlformats.org/officeDocument/2006/relationships" xmlns:w="http://schemas.openxmlformats.org/wordprocessingml/2006/main">
  <w:divs>
    <w:div w:id="8794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https://mul2.gov.am/tasks/31751/oneclick/texekanq.docx?token=1b1fddd23979f15f851edd12b44a2a71</cp:keywords>
</cp:coreProperties>
</file>