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4C" w:rsidRPr="00024F8E" w:rsidRDefault="00DF084C" w:rsidP="00DF084C">
      <w:pPr>
        <w:jc w:val="center"/>
        <w:rPr>
          <w:b/>
          <w:sz w:val="24"/>
          <w:szCs w:val="24"/>
          <w:lang w:val="hy-AM"/>
        </w:rPr>
      </w:pPr>
      <w:r w:rsidRPr="00024F8E">
        <w:rPr>
          <w:b/>
          <w:sz w:val="24"/>
          <w:szCs w:val="24"/>
          <w:lang w:val="hy-AM"/>
        </w:rPr>
        <w:t>ՀԻՄՆԱՎՈՐՈՒՄ</w:t>
      </w:r>
    </w:p>
    <w:p w:rsidR="00DF084C" w:rsidRPr="005418D8" w:rsidRDefault="00DF084C" w:rsidP="00DF084C">
      <w:pPr>
        <w:jc w:val="center"/>
        <w:rPr>
          <w:rFonts w:cs="Sylfaen"/>
          <w:b/>
          <w:sz w:val="24"/>
          <w:szCs w:val="24"/>
          <w:lang w:val="hy-AM"/>
        </w:rPr>
      </w:pPr>
      <w:r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Ապահովագրության և ապահովագրական գործունեության մասին</w:t>
      </w:r>
      <w:r w:rsidR="005418D8"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="005418D8"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, </w:t>
      </w:r>
      <w:r w:rsidR="005418D8"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Գրավատների և գրավատնային գործունեության մասին</w:t>
      </w:r>
      <w:r w:rsidR="005418D8"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="005418D8"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, </w:t>
      </w:r>
      <w:r w:rsidR="005418D8"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Վճարահաշվարկային համակարգերի և վճարահաշվարկային կազմակերպությունների մասին</w:t>
      </w:r>
      <w:r w:rsidR="005418D8" w:rsidRPr="005418D8">
        <w:rPr>
          <w:b/>
          <w:sz w:val="24"/>
          <w:szCs w:val="24"/>
          <w:lang w:val="hy-AM"/>
        </w:rPr>
        <w:t>»</w:t>
      </w:r>
      <w:r w:rsidRPr="00DF084C">
        <w:rPr>
          <w:b/>
          <w:sz w:val="24"/>
          <w:szCs w:val="24"/>
          <w:lang w:val="hy-AM"/>
        </w:rPr>
        <w:t xml:space="preserve"> ՀՀ օրենքում լրացումներ</w:t>
      </w:r>
      <w:r w:rsidR="00CB4274">
        <w:rPr>
          <w:b/>
          <w:sz w:val="24"/>
          <w:szCs w:val="24"/>
        </w:rPr>
        <w:t xml:space="preserve"> և </w:t>
      </w:r>
      <w:proofErr w:type="spellStart"/>
      <w:r w:rsidR="00CB4274">
        <w:rPr>
          <w:b/>
          <w:sz w:val="24"/>
          <w:szCs w:val="24"/>
        </w:rPr>
        <w:t>փոփոխություն</w:t>
      </w:r>
      <w:proofErr w:type="spellEnd"/>
      <w:r w:rsidRPr="00DF084C">
        <w:rPr>
          <w:b/>
          <w:sz w:val="24"/>
          <w:szCs w:val="24"/>
          <w:lang w:val="hy-AM"/>
        </w:rPr>
        <w:t xml:space="preserve"> կատարելու մասին</w:t>
      </w:r>
      <w:r w:rsidR="005418D8" w:rsidRPr="005418D8">
        <w:rPr>
          <w:b/>
          <w:sz w:val="24"/>
          <w:szCs w:val="24"/>
          <w:lang w:val="hy-AM"/>
        </w:rPr>
        <w:t>»</w:t>
      </w:r>
      <w:r w:rsidRPr="00DF084C">
        <w:rPr>
          <w:b/>
          <w:sz w:val="24"/>
          <w:szCs w:val="24"/>
          <w:lang w:val="hy-AM"/>
        </w:rPr>
        <w:t xml:space="preserve">, </w:t>
      </w:r>
      <w:r w:rsidR="005418D8" w:rsidRPr="005418D8">
        <w:rPr>
          <w:b/>
          <w:sz w:val="24"/>
          <w:szCs w:val="24"/>
          <w:lang w:val="hy-AM"/>
        </w:rPr>
        <w:t>«</w:t>
      </w:r>
      <w:r w:rsidRPr="005418D8">
        <w:rPr>
          <w:b/>
          <w:color w:val="000000"/>
          <w:lang w:val="hy-AM"/>
        </w:rPr>
        <w:t>Արժութային կարգավորման և արժութային վերահսկողության մասին» Հայաստանի Հանրապետության</w:t>
      </w:r>
      <w:r w:rsidRPr="005418D8">
        <w:rPr>
          <w:b/>
          <w:sz w:val="24"/>
          <w:szCs w:val="24"/>
          <w:lang w:val="hy-AM"/>
        </w:rPr>
        <w:t xml:space="preserve"> </w:t>
      </w:r>
      <w:r w:rsidRPr="00DF084C">
        <w:rPr>
          <w:b/>
          <w:sz w:val="24"/>
          <w:szCs w:val="24"/>
          <w:lang w:val="hy-AM"/>
        </w:rPr>
        <w:t>լրացում կատարելու մասին</w:t>
      </w:r>
      <w:r w:rsidR="001F5A85">
        <w:rPr>
          <w:b/>
          <w:sz w:val="24"/>
          <w:szCs w:val="24"/>
        </w:rPr>
        <w:t xml:space="preserve">» </w:t>
      </w:r>
      <w:r>
        <w:rPr>
          <w:b/>
          <w:color w:val="000000"/>
          <w:lang w:val="hy-AM"/>
        </w:rPr>
        <w:t>ՀՀ օրենքների</w:t>
      </w:r>
      <w:r w:rsidRPr="00DF084C">
        <w:rPr>
          <w:rFonts w:cs="Sylfaen"/>
          <w:b/>
          <w:sz w:val="24"/>
          <w:szCs w:val="24"/>
          <w:lang w:val="hy-AM"/>
        </w:rPr>
        <w:t xml:space="preserve"> ընդունման</w:t>
      </w:r>
      <w:r w:rsidRPr="00024F8E">
        <w:rPr>
          <w:rFonts w:cs="Sylfaen"/>
          <w:b/>
          <w:sz w:val="24"/>
          <w:szCs w:val="24"/>
          <w:lang w:val="hy-AM"/>
        </w:rPr>
        <w:t xml:space="preserve"> </w:t>
      </w:r>
    </w:p>
    <w:p w:rsidR="005418D8" w:rsidRPr="005418D8" w:rsidRDefault="005418D8" w:rsidP="00DF084C">
      <w:pPr>
        <w:jc w:val="center"/>
        <w:rPr>
          <w:rFonts w:cs="Sylfaen"/>
          <w:b/>
          <w:sz w:val="24"/>
          <w:szCs w:val="24"/>
          <w:lang w:val="hy-AM"/>
        </w:rPr>
      </w:pPr>
    </w:p>
    <w:p w:rsidR="00DF084C" w:rsidRPr="00024F8E" w:rsidRDefault="00DF084C" w:rsidP="005418D8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b/>
          <w:color w:val="000000"/>
          <w:lang w:val="hy-AM"/>
        </w:rPr>
      </w:pPr>
      <w:r w:rsidRPr="00024F8E">
        <w:rPr>
          <w:rFonts w:ascii="GHEA Grapalat" w:hAnsi="GHEA Grapalat"/>
          <w:b/>
          <w:color w:val="000000"/>
          <w:lang w:val="hy-AM"/>
        </w:rPr>
        <w:t>Իրավական ակտերի ընդունման անհրաժեշտությունը</w:t>
      </w:r>
    </w:p>
    <w:p w:rsidR="00DF084C" w:rsidRDefault="00DF084C" w:rsidP="005418D8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  <w:r w:rsidRPr="00024F8E">
        <w:rPr>
          <w:rFonts w:ascii="GHEA Grapalat" w:hAnsi="GHEA Grapalat"/>
          <w:color w:val="000000"/>
          <w:lang w:val="hy-AM"/>
        </w:rPr>
        <w:t>Նախագծի ներկայացումը պայմանավորված է ՀՀ կառավարության 2017 թվականի գործուն</w:t>
      </w:r>
      <w:r>
        <w:rPr>
          <w:rFonts w:ascii="GHEA Grapalat" w:hAnsi="GHEA Grapalat"/>
          <w:color w:val="000000"/>
          <w:lang w:val="hy-AM"/>
        </w:rPr>
        <w:t>եության միջոցառումների ծրագրի</w:t>
      </w:r>
      <w:r w:rsidRPr="005418D8">
        <w:rPr>
          <w:rFonts w:ascii="GHEA Grapalat" w:hAnsi="GHEA Grapalat"/>
          <w:color w:val="000000"/>
          <w:lang w:val="hy-AM"/>
        </w:rPr>
        <w:t xml:space="preserve"> 71</w:t>
      </w:r>
      <w:r w:rsidRPr="00024F8E">
        <w:rPr>
          <w:rFonts w:ascii="GHEA Grapalat" w:hAnsi="GHEA Grapalat"/>
          <w:color w:val="000000"/>
          <w:lang w:val="hy-AM"/>
        </w:rPr>
        <w:t xml:space="preserve">-րդ կետով:   </w:t>
      </w:r>
    </w:p>
    <w:p w:rsidR="00DF084C" w:rsidRPr="005418D8" w:rsidRDefault="00DF084C" w:rsidP="005418D8">
      <w:pPr>
        <w:pStyle w:val="NormalWeb"/>
        <w:spacing w:before="0" w:beforeAutospacing="0" w:after="0" w:afterAutospacing="0" w:line="276" w:lineRule="auto"/>
        <w:ind w:left="-86" w:right="-187" w:firstLine="806"/>
        <w:jc w:val="both"/>
        <w:rPr>
          <w:rFonts w:ascii="GHEA Grapalat" w:hAnsi="GHEA Grapalat" w:cs="Sylfaen"/>
          <w:lang w:val="hy-AM"/>
        </w:rPr>
      </w:pPr>
      <w:r w:rsidRPr="00A309EC">
        <w:rPr>
          <w:rFonts w:ascii="GHEA Grapalat" w:hAnsi="GHEA Grapalat"/>
          <w:lang w:val="hy-AM"/>
        </w:rPr>
        <w:t xml:space="preserve">2015 </w:t>
      </w:r>
      <w:r w:rsidRPr="00A309EC">
        <w:rPr>
          <w:rFonts w:ascii="GHEA Grapalat" w:hAnsi="GHEA Grapalat" w:cs="Sylfaen"/>
          <w:lang w:val="hy-AM"/>
        </w:rPr>
        <w:t>թվականի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դեկտեմբերի</w:t>
      </w:r>
      <w:r w:rsidRPr="00A309EC">
        <w:rPr>
          <w:rFonts w:ascii="GHEA Grapalat" w:hAnsi="GHEA Grapalat"/>
          <w:lang w:val="hy-AM"/>
        </w:rPr>
        <w:t xml:space="preserve"> 10-</w:t>
      </w:r>
      <w:r w:rsidRPr="00A309EC">
        <w:rPr>
          <w:rFonts w:ascii="GHEA Grapalat" w:hAnsi="GHEA Grapalat" w:cs="Sylfaen"/>
          <w:lang w:val="hy-AM"/>
        </w:rPr>
        <w:t>ին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ՄԱՆԻՎԱԼ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հանձնախմբի</w:t>
      </w:r>
      <w:r w:rsidRPr="00A309EC">
        <w:rPr>
          <w:rFonts w:ascii="GHEA Grapalat" w:hAnsi="GHEA Grapalat"/>
          <w:lang w:val="hy-AM"/>
        </w:rPr>
        <w:t xml:space="preserve"> 49-</w:t>
      </w:r>
      <w:r w:rsidRPr="00A309EC">
        <w:rPr>
          <w:rFonts w:ascii="GHEA Grapalat" w:hAnsi="GHEA Grapalat" w:cs="Sylfaen"/>
          <w:lang w:val="hy-AM"/>
        </w:rPr>
        <w:t>րդ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լիագումար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նիստում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հաստատվել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է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ՀՀ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ՓԼ</w:t>
      </w:r>
      <w:r w:rsidRPr="00A309EC">
        <w:rPr>
          <w:rFonts w:ascii="GHEA Grapalat" w:hAnsi="GHEA Grapalat"/>
          <w:lang w:val="hy-AM"/>
        </w:rPr>
        <w:t>/</w:t>
      </w:r>
      <w:r w:rsidRPr="00A309EC">
        <w:rPr>
          <w:rFonts w:ascii="GHEA Grapalat" w:hAnsi="GHEA Grapalat" w:cs="Sylfaen"/>
          <w:lang w:val="hy-AM"/>
        </w:rPr>
        <w:t>ԱՖ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դեմ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պայքարի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համակարգի</w:t>
      </w:r>
      <w:r w:rsidRPr="00A309EC">
        <w:rPr>
          <w:rFonts w:ascii="GHEA Grapalat" w:hAnsi="GHEA Grapalat"/>
          <w:lang w:val="hy-AM"/>
        </w:rPr>
        <w:t xml:space="preserve"> 5-</w:t>
      </w:r>
      <w:r w:rsidRPr="00A309EC">
        <w:rPr>
          <w:rFonts w:ascii="GHEA Grapalat" w:hAnsi="GHEA Grapalat" w:cs="Sylfaen"/>
          <w:lang w:val="hy-AM"/>
        </w:rPr>
        <w:t>րդ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փուլի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գնահատման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հաշվետվությունը</w:t>
      </w:r>
      <w:r w:rsidRPr="00A309EC">
        <w:rPr>
          <w:rFonts w:ascii="GHEA Grapalat" w:hAnsi="GHEA Grapalat"/>
          <w:lang w:val="hy-AM"/>
        </w:rPr>
        <w:t xml:space="preserve"> (</w:t>
      </w:r>
      <w:r w:rsidRPr="00A309EC">
        <w:rPr>
          <w:rFonts w:ascii="GHEA Grapalat" w:hAnsi="GHEA Grapalat" w:cs="Sylfaen"/>
          <w:lang w:val="hy-AM"/>
        </w:rPr>
        <w:t>այսուհետ՝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Հաշվետվություն</w:t>
      </w:r>
      <w:r w:rsidRPr="00A309EC">
        <w:rPr>
          <w:rFonts w:ascii="GHEA Grapalat" w:hAnsi="GHEA Grapalat"/>
          <w:lang w:val="hy-AM"/>
        </w:rPr>
        <w:t xml:space="preserve">): </w:t>
      </w:r>
      <w:r w:rsidRPr="00A309EC">
        <w:rPr>
          <w:rFonts w:ascii="GHEA Grapalat" w:hAnsi="GHEA Grapalat" w:cs="Sylfaen"/>
          <w:lang w:val="hy-AM"/>
        </w:rPr>
        <w:t>Հաշվետվությամբ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արձանագրվ</w:t>
      </w:r>
      <w:r w:rsidRPr="005418D8">
        <w:rPr>
          <w:rFonts w:ascii="GHEA Grapalat" w:hAnsi="GHEA Grapalat" w:cs="Sylfaen"/>
          <w:lang w:val="hy-AM"/>
        </w:rPr>
        <w:t>ել են մի շարք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խնդիրներ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և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բացեր</w:t>
      </w:r>
      <w:r w:rsidRPr="005418D8">
        <w:rPr>
          <w:rFonts w:ascii="GHEA Grapalat" w:hAnsi="GHEA Grapalat" w:cs="Sylfaen"/>
          <w:lang w:val="hy-AM"/>
        </w:rPr>
        <w:t xml:space="preserve">, այդ թվում՝ </w:t>
      </w:r>
      <w:r w:rsidRPr="00B80664">
        <w:rPr>
          <w:rFonts w:ascii="GHEA Grapalat" w:hAnsi="GHEA Grapalat" w:cs="Sylfaen"/>
          <w:lang w:val="hy-AM"/>
        </w:rPr>
        <w:t xml:space="preserve">հանցագործների կամ նրանց հետ փոխկապակցված անձանց կողմից </w:t>
      </w:r>
      <w:r w:rsidRPr="005418D8">
        <w:rPr>
          <w:rFonts w:ascii="GHEA Grapalat" w:hAnsi="GHEA Grapalat" w:cs="Sylfaen"/>
          <w:lang w:val="hy-AM"/>
        </w:rPr>
        <w:t xml:space="preserve">մի շարք </w:t>
      </w:r>
      <w:r w:rsidRPr="00B80664">
        <w:rPr>
          <w:rFonts w:ascii="GHEA Grapalat" w:hAnsi="GHEA Grapalat" w:cs="Sylfaen"/>
          <w:lang w:val="hy-AM"/>
        </w:rPr>
        <w:t xml:space="preserve">ֆինանսական </w:t>
      </w:r>
      <w:r>
        <w:rPr>
          <w:rFonts w:ascii="GHEA Grapalat" w:hAnsi="GHEA Grapalat" w:cs="Sylfaen"/>
          <w:lang w:val="hy-AM"/>
        </w:rPr>
        <w:t>հաստատությ</w:t>
      </w:r>
      <w:r w:rsidRPr="005418D8">
        <w:rPr>
          <w:rFonts w:ascii="GHEA Grapalat" w:hAnsi="GHEA Grapalat" w:cs="Sylfaen"/>
          <w:lang w:val="hy-AM"/>
        </w:rPr>
        <w:t>ու</w:t>
      </w:r>
      <w:r w:rsidRPr="00B80664">
        <w:rPr>
          <w:rFonts w:ascii="GHEA Grapalat" w:hAnsi="GHEA Grapalat" w:cs="Sylfaen"/>
          <w:lang w:val="hy-AM"/>
        </w:rPr>
        <w:t>ն</w:t>
      </w:r>
      <w:r w:rsidRPr="005418D8">
        <w:rPr>
          <w:rFonts w:ascii="GHEA Grapalat" w:hAnsi="GHEA Grapalat" w:cs="Sylfaen"/>
          <w:lang w:val="hy-AM"/>
        </w:rPr>
        <w:t>ների</w:t>
      </w:r>
      <w:r w:rsidRPr="00B80664">
        <w:rPr>
          <w:rFonts w:ascii="GHEA Grapalat" w:hAnsi="GHEA Grapalat" w:cs="Sylfaen"/>
          <w:lang w:val="hy-AM"/>
        </w:rPr>
        <w:t xml:space="preserve"> կապիտալում նշանակալից մասնակցություն կամ վերահսկիչ բաժնեմաս ունենալը (կամ այդպիսի մասնակցության կամ բաժնեմասի </w:t>
      </w:r>
      <w:r w:rsidRPr="005418D8">
        <w:rPr>
          <w:rFonts w:ascii="GHEA Grapalat" w:hAnsi="GHEA Grapalat" w:cs="Sylfaen"/>
          <w:lang w:val="hy-AM"/>
        </w:rPr>
        <w:t>իրական շահառու լինելը), կամ ֆինանսական հաստատությունում կառավարման գործառույթ կատարելը կանխելուն ուղղված անհրաժեշտ իրավական կամ կարգավորման միջոցների բացակայությունը։</w:t>
      </w:r>
    </w:p>
    <w:p w:rsidR="00DF084C" w:rsidRPr="005418D8" w:rsidRDefault="00DF084C" w:rsidP="00DF084C">
      <w:pPr>
        <w:pStyle w:val="NormalWeb"/>
        <w:spacing w:before="0" w:beforeAutospacing="0" w:after="0" w:afterAutospacing="0" w:line="288" w:lineRule="auto"/>
        <w:ind w:left="-86" w:right="-187" w:firstLine="806"/>
        <w:jc w:val="both"/>
        <w:rPr>
          <w:rFonts w:ascii="GHEA Grapalat" w:hAnsi="GHEA Grapalat" w:cs="Sylfaen"/>
          <w:lang w:val="hy-AM"/>
        </w:rPr>
      </w:pPr>
      <w:r w:rsidRPr="005418D8">
        <w:rPr>
          <w:rFonts w:ascii="GHEA Grapalat" w:hAnsi="GHEA Grapalat" w:cs="Sylfaen"/>
          <w:lang w:val="hy-AM"/>
        </w:rPr>
        <w:t>Մասնավորապես՝ Հաշվետվությամբ 26-րդ հանձնարարականի 26.3-րդ չափորոշչին ՀՀ օրենսդրության համապատասխանության գնահատման շրջանակներում նշվել է, որ՝</w:t>
      </w:r>
    </w:p>
    <w:p w:rsidR="00DF084C" w:rsidRPr="005418D8" w:rsidRDefault="00DF084C" w:rsidP="00DF084C">
      <w:pPr>
        <w:pStyle w:val="NormalWeb"/>
        <w:spacing w:before="0" w:beforeAutospacing="0" w:after="0" w:afterAutospacing="0" w:line="288" w:lineRule="auto"/>
        <w:ind w:left="-86" w:right="-187" w:firstLine="806"/>
        <w:jc w:val="both"/>
        <w:rPr>
          <w:rFonts w:ascii="GHEA Grapalat" w:hAnsi="GHEA Grapalat" w:cs="Sylfaen"/>
          <w:lang w:val="hy-AM"/>
        </w:rPr>
      </w:pPr>
      <w:r w:rsidRPr="005418D8">
        <w:rPr>
          <w:rFonts w:ascii="GHEA Grapalat" w:hAnsi="GHEA Grapalat" w:cs="Sylfaen"/>
          <w:lang w:val="hy-AM"/>
        </w:rPr>
        <w:t xml:space="preserve">«266.«Ապահովագրության և ապահովագրական գործունեության մասին» ՀՀ օրենքը և «Վճարահաշվարկային համակարգերի և կազմակերպությունների մասին» ՀՀ օրենքը չեն ներառում համապատասխան դրույթներ՝ կանխարգելելու համար հանցագործների և նրանց հետ փոխկապակցված անձանց կողմից նշանակալից կամ կառավարման իրավունք տվող մասնակցության (ձայնի իրավունք տվող բաժնետոմսերի 10%) ձեռքբերումը կամ իրական շահառու հանդիսանալը, կամ </w:t>
      </w:r>
      <w:r w:rsidRPr="005418D8">
        <w:rPr>
          <w:rFonts w:ascii="GHEA Grapalat" w:hAnsi="GHEA Grapalat" w:cs="Sylfaen"/>
          <w:lang w:val="hy-AM"/>
        </w:rPr>
        <w:lastRenderedPageBreak/>
        <w:t>ղեկավար պաշտոն զբաղեցնելը այնպիսի ՖՀ-ներում, ինչպիսիք են ապահովագրական միջնորդները և վճարահաշվարկային կազմակերպությունները:»,</w:t>
      </w:r>
    </w:p>
    <w:p w:rsidR="00DF084C" w:rsidRPr="00B16A68" w:rsidRDefault="00DF084C" w:rsidP="00DF084C">
      <w:pPr>
        <w:spacing w:after="120" w:line="288" w:lineRule="auto"/>
        <w:ind w:firstLine="720"/>
        <w:jc w:val="both"/>
        <w:rPr>
          <w:rFonts w:cs="Sylfaen"/>
          <w:lang w:val="hy-AM"/>
        </w:rPr>
      </w:pPr>
      <w:r w:rsidRPr="00B16A68">
        <w:rPr>
          <w:rFonts w:eastAsia="Times New Roman" w:cs="Sylfaen"/>
          <w:sz w:val="24"/>
          <w:szCs w:val="24"/>
          <w:lang w:val="hy-AM"/>
        </w:rPr>
        <w:t xml:space="preserve">«267. «Գրավատների և </w:t>
      </w:r>
      <w:proofErr w:type="spellStart"/>
      <w:r w:rsidRPr="00B16A68">
        <w:rPr>
          <w:rFonts w:eastAsia="Times New Roman" w:cs="Sylfaen"/>
          <w:sz w:val="24"/>
          <w:szCs w:val="24"/>
          <w:lang w:val="hy-AM"/>
        </w:rPr>
        <w:t>գրավատնային</w:t>
      </w:r>
      <w:proofErr w:type="spellEnd"/>
      <w:r w:rsidRPr="00B16A68">
        <w:rPr>
          <w:rFonts w:eastAsia="Times New Roman" w:cs="Sylfaen"/>
          <w:sz w:val="24"/>
          <w:szCs w:val="24"/>
          <w:lang w:val="hy-AM"/>
        </w:rPr>
        <w:t xml:space="preserve"> գործունեության մասին» ՀՀ օրենքը և «Արժութային կարգավորման և արժութային վերահսկողության մասին» ՀՀ օրենքը չեն ներառում բաժնետերերի և ղեկավարների համապատասխանության վերաբերյալ դրույթներ այն անձանց համար, որոնք նման դիրք են զբաղեցնում նշված ընկերություններում:»</w:t>
      </w:r>
      <w:r>
        <w:rPr>
          <w:rStyle w:val="FootnoteReference"/>
          <w:rFonts w:cs="Sylfaen"/>
        </w:rPr>
        <w:footnoteReference w:id="1"/>
      </w:r>
      <w:r w:rsidRPr="00B16A68">
        <w:rPr>
          <w:rFonts w:cs="Sylfaen"/>
          <w:lang w:val="hy-AM"/>
        </w:rPr>
        <w:t>։</w:t>
      </w:r>
    </w:p>
    <w:p w:rsidR="00DF084C" w:rsidRPr="00DF084C" w:rsidRDefault="00DF084C" w:rsidP="00DF084C">
      <w:pPr>
        <w:spacing w:after="0" w:line="23" w:lineRule="atLeast"/>
        <w:rPr>
          <w:rFonts w:eastAsia="Times New Roman"/>
          <w:color w:val="000000"/>
          <w:sz w:val="24"/>
          <w:szCs w:val="24"/>
          <w:lang w:val="hy-AM"/>
        </w:rPr>
      </w:pPr>
    </w:p>
    <w:p w:rsidR="00DF084C" w:rsidRPr="005418D8" w:rsidRDefault="00DF084C" w:rsidP="00DF084C">
      <w:pPr>
        <w:spacing w:after="0" w:line="23" w:lineRule="atLeast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  <w:r w:rsidRPr="00024F8E">
        <w:rPr>
          <w:rFonts w:eastAsia="Times New Roman"/>
          <w:b/>
          <w:color w:val="000000"/>
          <w:sz w:val="24"/>
          <w:szCs w:val="24"/>
          <w:lang w:val="hy-AM"/>
        </w:rPr>
        <w:t>Ընթացիկ իրավիճակը և խնդիրները</w:t>
      </w:r>
    </w:p>
    <w:p w:rsidR="00DF084C" w:rsidRPr="005418D8" w:rsidRDefault="00DF084C" w:rsidP="005418D8">
      <w:pPr>
        <w:ind w:firstLine="432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024F8E">
        <w:rPr>
          <w:rFonts w:eastAsia="Times New Roman"/>
          <w:color w:val="000000"/>
          <w:sz w:val="24"/>
          <w:szCs w:val="24"/>
          <w:lang w:val="hy-AM"/>
        </w:rPr>
        <w:t xml:space="preserve">Խնդրի էությունն այն է, որ </w:t>
      </w:r>
      <w:r>
        <w:rPr>
          <w:rFonts w:eastAsia="Times New Roman"/>
          <w:color w:val="000000"/>
          <w:sz w:val="24"/>
          <w:szCs w:val="24"/>
          <w:lang w:val="hy-AM"/>
        </w:rPr>
        <w:t>ԿԲ կողմից լիցենզավորվող որոշ սուբյեկտների համար նախատեսված չեն դրանց ղեկավարների և նշանակալից մասնակիցների նկատմամբ հանցագործության համար դատվածություն չունենալու</w:t>
      </w:r>
      <w:r w:rsidR="000314F7" w:rsidRPr="00B16A68">
        <w:rPr>
          <w:rFonts w:eastAsia="Times New Roman"/>
          <w:color w:val="000000"/>
          <w:sz w:val="24"/>
          <w:szCs w:val="24"/>
          <w:lang w:val="hy-AM"/>
        </w:rPr>
        <w:t xml:space="preserve"> վերաբերյալ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 պահանջներ</w:t>
      </w:r>
      <w:r w:rsidR="005418D8" w:rsidRPr="005418D8">
        <w:rPr>
          <w:rFonts w:eastAsia="Times New Roman"/>
          <w:color w:val="000000"/>
          <w:sz w:val="24"/>
          <w:szCs w:val="24"/>
          <w:lang w:val="hy-AM"/>
        </w:rPr>
        <w:t>:</w:t>
      </w:r>
    </w:p>
    <w:p w:rsidR="005418D8" w:rsidRPr="00B16A68" w:rsidRDefault="005418D8" w:rsidP="00DF084C">
      <w:pPr>
        <w:spacing w:after="0" w:line="23" w:lineRule="atLeast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</w:p>
    <w:p w:rsidR="00DF084C" w:rsidRDefault="00DF084C" w:rsidP="00DF084C">
      <w:pPr>
        <w:spacing w:after="0" w:line="23" w:lineRule="atLeast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  <w:r w:rsidRPr="00024F8E">
        <w:rPr>
          <w:rFonts w:eastAsia="Times New Roman"/>
          <w:b/>
          <w:color w:val="000000"/>
          <w:sz w:val="24"/>
          <w:szCs w:val="24"/>
          <w:lang w:val="hy-AM"/>
        </w:rPr>
        <w:t>Կարգավորման նպատակը և ակնկալվող արդյունքը</w:t>
      </w:r>
    </w:p>
    <w:p w:rsidR="00DF084C" w:rsidRDefault="00DF084C" w:rsidP="005418D8">
      <w:pPr>
        <w:spacing w:after="0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</w:p>
    <w:p w:rsidR="00DF084C" w:rsidRPr="00B16A68" w:rsidRDefault="00DF084C" w:rsidP="005418D8">
      <w:pPr>
        <w:spacing w:after="0"/>
        <w:ind w:firstLine="432"/>
        <w:rPr>
          <w:rFonts w:eastAsia="Times New Roman"/>
          <w:color w:val="000000"/>
          <w:sz w:val="24"/>
          <w:szCs w:val="24"/>
          <w:lang w:val="hy-AM"/>
        </w:rPr>
      </w:pPr>
      <w:r w:rsidRPr="00DF084C">
        <w:rPr>
          <w:rFonts w:eastAsia="Times New Roman"/>
          <w:color w:val="000000"/>
          <w:sz w:val="24"/>
          <w:szCs w:val="24"/>
          <w:lang w:val="hy-AM"/>
        </w:rPr>
        <w:t>Կարգավորումների նպատակ</w:t>
      </w:r>
      <w:r w:rsidR="005418D8" w:rsidRPr="005418D8">
        <w:rPr>
          <w:rFonts w:eastAsia="Times New Roman"/>
          <w:color w:val="000000"/>
          <w:sz w:val="24"/>
          <w:szCs w:val="24"/>
          <w:lang w:val="hy-AM"/>
        </w:rPr>
        <w:t>ն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5418D8" w:rsidRPr="005418D8">
        <w:rPr>
          <w:rFonts w:eastAsia="Times New Roman"/>
          <w:color w:val="000000"/>
          <w:sz w:val="24"/>
          <w:szCs w:val="24"/>
          <w:lang w:val="hy-AM"/>
        </w:rPr>
        <w:t xml:space="preserve">է 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կանխարգելել հանցագործությունների համար դատվածություն ունեցող անձանց մուտքը </w:t>
      </w:r>
      <w:r w:rsidRPr="005418D8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0314F7">
        <w:rPr>
          <w:rFonts w:eastAsia="Times New Roman"/>
          <w:color w:val="000000"/>
          <w:sz w:val="24"/>
          <w:szCs w:val="24"/>
          <w:lang w:val="hy-AM"/>
        </w:rPr>
        <w:t>ֆինանսական կազմակերպություններ</w:t>
      </w:r>
      <w:r w:rsidR="000314F7" w:rsidRPr="00B16A68">
        <w:rPr>
          <w:rFonts w:eastAsia="Times New Roman"/>
          <w:color w:val="000000"/>
          <w:sz w:val="24"/>
          <w:szCs w:val="24"/>
          <w:lang w:val="hy-AM"/>
        </w:rPr>
        <w:t>:</w:t>
      </w:r>
    </w:p>
    <w:p w:rsidR="00DF084C" w:rsidRPr="005418D8" w:rsidRDefault="000314F7" w:rsidP="005418D8">
      <w:pPr>
        <w:spacing w:after="0"/>
        <w:ind w:firstLine="432"/>
        <w:rPr>
          <w:rFonts w:eastAsia="Times New Roman"/>
          <w:color w:val="000000"/>
          <w:sz w:val="24"/>
          <w:szCs w:val="24"/>
          <w:lang w:val="hy-AM"/>
        </w:rPr>
      </w:pPr>
      <w:r>
        <w:rPr>
          <w:rFonts w:eastAsia="Times New Roman"/>
          <w:color w:val="000000"/>
          <w:sz w:val="24"/>
          <w:szCs w:val="24"/>
          <w:lang w:val="hy-AM"/>
        </w:rPr>
        <w:t>Փոփո</w:t>
      </w:r>
      <w:r w:rsidRPr="00B16A68">
        <w:rPr>
          <w:rFonts w:eastAsia="Times New Roman"/>
          <w:color w:val="000000"/>
          <w:sz w:val="24"/>
          <w:szCs w:val="24"/>
          <w:lang w:val="hy-AM"/>
        </w:rPr>
        <w:t>խու</w:t>
      </w:r>
      <w:r w:rsidR="00DF084C">
        <w:rPr>
          <w:rFonts w:eastAsia="Times New Roman"/>
          <w:color w:val="000000"/>
          <w:sz w:val="24"/>
          <w:szCs w:val="24"/>
          <w:lang w:val="hy-AM"/>
        </w:rPr>
        <w:t xml:space="preserve">թյունների արդյունքում </w:t>
      </w:r>
      <w:proofErr w:type="spellStart"/>
      <w:r w:rsidR="00DF084C">
        <w:rPr>
          <w:rFonts w:eastAsia="Times New Roman"/>
          <w:color w:val="000000"/>
          <w:sz w:val="24"/>
          <w:szCs w:val="24"/>
          <w:lang w:val="hy-AM"/>
        </w:rPr>
        <w:t>գրավատան</w:t>
      </w:r>
      <w:proofErr w:type="spellEnd"/>
      <w:r w:rsidR="00DF084C">
        <w:rPr>
          <w:rFonts w:eastAsia="Times New Roman"/>
          <w:color w:val="000000"/>
          <w:sz w:val="24"/>
          <w:szCs w:val="24"/>
          <w:lang w:val="hy-AM"/>
        </w:rPr>
        <w:t>, վճարահա</w:t>
      </w:r>
      <w:r>
        <w:rPr>
          <w:rFonts w:eastAsia="Times New Roman"/>
          <w:color w:val="000000"/>
          <w:sz w:val="24"/>
          <w:szCs w:val="24"/>
          <w:lang w:val="hy-AM"/>
        </w:rPr>
        <w:t>շվարկային կազմակերպությունների</w:t>
      </w:r>
      <w:r w:rsidRPr="00B16A68">
        <w:rPr>
          <w:rFonts w:eastAsia="Times New Roman"/>
          <w:color w:val="000000"/>
          <w:sz w:val="24"/>
          <w:szCs w:val="24"/>
          <w:lang w:val="hy-AM"/>
        </w:rPr>
        <w:t xml:space="preserve">, ապահովագրական միջնորդների, </w:t>
      </w:r>
      <w:r w:rsidR="00DF084C">
        <w:rPr>
          <w:rFonts w:eastAsia="Times New Roman"/>
          <w:color w:val="000000"/>
          <w:sz w:val="24"/>
          <w:szCs w:val="24"/>
          <w:lang w:val="hy-AM"/>
        </w:rPr>
        <w:t xml:space="preserve"> արժութային գործառնություններ իրականացնող անձանց նշանակալից մասնակիցներն ու ղեկավարները չեն կարող լինել հանցագործության համար դատվածություն ունեցող անձինք</w:t>
      </w:r>
      <w:r w:rsidR="005418D8" w:rsidRPr="005418D8">
        <w:rPr>
          <w:rFonts w:eastAsia="Times New Roman"/>
          <w:color w:val="000000"/>
          <w:sz w:val="24"/>
          <w:szCs w:val="24"/>
          <w:lang w:val="hy-AM"/>
        </w:rPr>
        <w:t>:</w:t>
      </w:r>
    </w:p>
    <w:p w:rsidR="00DF084C" w:rsidRPr="005418D8" w:rsidRDefault="00DF084C" w:rsidP="00DF084C">
      <w:pPr>
        <w:rPr>
          <w:rFonts w:eastAsia="Times New Roman"/>
          <w:color w:val="000000"/>
          <w:sz w:val="24"/>
          <w:szCs w:val="24"/>
          <w:lang w:val="hy-AM"/>
        </w:rPr>
      </w:pPr>
    </w:p>
    <w:p w:rsidR="00DF084C" w:rsidRDefault="00DF084C" w:rsidP="00DF084C">
      <w:pPr>
        <w:spacing w:after="0" w:line="240" w:lineRule="auto"/>
        <w:rPr>
          <w:rFonts w:cs="Times Armenian"/>
          <w:sz w:val="24"/>
          <w:szCs w:val="24"/>
          <w:lang w:val="hy-AM"/>
        </w:rPr>
      </w:pPr>
    </w:p>
    <w:p w:rsidR="00DF084C" w:rsidRPr="00B16A68" w:rsidRDefault="00DF084C" w:rsidP="00DF084C">
      <w:pPr>
        <w:spacing w:after="0" w:line="240" w:lineRule="auto"/>
        <w:rPr>
          <w:rFonts w:cs="Times Armenian"/>
          <w:sz w:val="24"/>
          <w:szCs w:val="24"/>
          <w:lang w:val="hy-AM"/>
        </w:rPr>
      </w:pPr>
      <w:bookmarkStart w:id="0" w:name="_GoBack"/>
      <w:bookmarkEnd w:id="0"/>
    </w:p>
    <w:sectPr w:rsidR="00DF084C" w:rsidRPr="00B1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16" w:rsidRDefault="00C54E16" w:rsidP="00DF084C">
      <w:pPr>
        <w:spacing w:after="0" w:line="240" w:lineRule="auto"/>
      </w:pPr>
      <w:r>
        <w:separator/>
      </w:r>
    </w:p>
  </w:endnote>
  <w:endnote w:type="continuationSeparator" w:id="0">
    <w:p w:rsidR="00C54E16" w:rsidRDefault="00C54E16" w:rsidP="00DF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16" w:rsidRDefault="00C54E16" w:rsidP="00DF084C">
      <w:pPr>
        <w:spacing w:after="0" w:line="240" w:lineRule="auto"/>
      </w:pPr>
      <w:r>
        <w:separator/>
      </w:r>
    </w:p>
  </w:footnote>
  <w:footnote w:type="continuationSeparator" w:id="0">
    <w:p w:rsidR="00C54E16" w:rsidRDefault="00C54E16" w:rsidP="00DF084C">
      <w:pPr>
        <w:spacing w:after="0" w:line="240" w:lineRule="auto"/>
      </w:pPr>
      <w:r>
        <w:continuationSeparator/>
      </w:r>
    </w:p>
  </w:footnote>
  <w:footnote w:id="1">
    <w:p w:rsidR="00DF084C" w:rsidRDefault="00DF084C" w:rsidP="00DF084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D0711">
          <w:rPr>
            <w:rStyle w:val="Hyperlink"/>
          </w:rPr>
          <w:t>https://www.cba.am/Storage/AM/downloads/FDK/Evaluation%20Reports/mutual_evaluation_report_fifth_arm.pdf</w:t>
        </w:r>
      </w:hyperlink>
      <w:r>
        <w:t xml:space="preserve"> , </w:t>
      </w:r>
      <w:proofErr w:type="spellStart"/>
      <w:r>
        <w:t>էջ</w:t>
      </w:r>
      <w:proofErr w:type="spellEnd"/>
      <w:r>
        <w:t xml:space="preserve"> 216</w:t>
      </w:r>
    </w:p>
    <w:p w:rsidR="00DF084C" w:rsidRDefault="00DF084C" w:rsidP="00DF084C">
      <w:pPr>
        <w:pStyle w:val="FootnoteText"/>
        <w:rPr>
          <w:lang w:val="hy-AM"/>
        </w:rPr>
      </w:pPr>
    </w:p>
    <w:p w:rsidR="00DF084C" w:rsidRDefault="00DF084C" w:rsidP="00DF084C">
      <w:pPr>
        <w:pStyle w:val="FootnoteText"/>
        <w:rPr>
          <w:lang w:val="hy-AM"/>
        </w:rPr>
      </w:pPr>
    </w:p>
    <w:p w:rsidR="00DF084C" w:rsidRDefault="00DF084C" w:rsidP="00DF084C">
      <w:pPr>
        <w:pStyle w:val="FootnoteText"/>
        <w:rPr>
          <w:lang w:val="hy-AM"/>
        </w:rPr>
      </w:pPr>
    </w:p>
    <w:p w:rsidR="00DF084C" w:rsidRDefault="00DF084C" w:rsidP="00DF084C">
      <w:pPr>
        <w:pStyle w:val="FootnoteText"/>
        <w:rPr>
          <w:lang w:val="hy-AM"/>
        </w:rPr>
      </w:pPr>
    </w:p>
    <w:p w:rsidR="00DF084C" w:rsidRDefault="00DF084C" w:rsidP="00DF084C">
      <w:pPr>
        <w:pStyle w:val="FootnoteText"/>
        <w:rPr>
          <w:lang w:val="hy-AM"/>
        </w:rPr>
      </w:pPr>
    </w:p>
    <w:p w:rsidR="00DF084C" w:rsidRPr="00DF084C" w:rsidRDefault="00DF084C" w:rsidP="00DF084C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89E"/>
    <w:multiLevelType w:val="hybridMultilevel"/>
    <w:tmpl w:val="ADCAA338"/>
    <w:lvl w:ilvl="0" w:tplc="D5E41C08">
      <w:start w:val="8"/>
      <w:numFmt w:val="bullet"/>
      <w:lvlText w:val="-"/>
      <w:lvlJc w:val="left"/>
      <w:pPr>
        <w:ind w:left="151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519A34EC"/>
    <w:multiLevelType w:val="hybridMultilevel"/>
    <w:tmpl w:val="EE3ABF44"/>
    <w:lvl w:ilvl="0" w:tplc="603690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9FD278C"/>
    <w:multiLevelType w:val="hybridMultilevel"/>
    <w:tmpl w:val="6E56705E"/>
    <w:lvl w:ilvl="0" w:tplc="480C813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76"/>
    <w:rsid w:val="000314F7"/>
    <w:rsid w:val="001F5A85"/>
    <w:rsid w:val="00220159"/>
    <w:rsid w:val="00434D9B"/>
    <w:rsid w:val="00487FED"/>
    <w:rsid w:val="004D1A13"/>
    <w:rsid w:val="005418D8"/>
    <w:rsid w:val="007343CB"/>
    <w:rsid w:val="00B16A68"/>
    <w:rsid w:val="00C54E16"/>
    <w:rsid w:val="00CB4274"/>
    <w:rsid w:val="00DE7776"/>
    <w:rsid w:val="00D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CEA4E-2F36-457E-96DD-ABF402C6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4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DF0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F084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08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084C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084C"/>
    <w:rPr>
      <w:vertAlign w:val="superscript"/>
    </w:rPr>
  </w:style>
  <w:style w:type="paragraph" w:styleId="ListParagraph">
    <w:name w:val="List Paragraph"/>
    <w:aliases w:val="Akapit z listą BS"/>
    <w:basedOn w:val="Normal"/>
    <w:link w:val="ListParagraphChar"/>
    <w:uiPriority w:val="34"/>
    <w:qFormat/>
    <w:rsid w:val="00DF084C"/>
    <w:pPr>
      <w:ind w:left="720"/>
      <w:contextualSpacing/>
    </w:pPr>
    <w:rPr>
      <w:rFonts w:eastAsiaTheme="minorHAnsi" w:cstheme="minorBidi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DF084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"/>
    <w:link w:val="ListParagraph"/>
    <w:uiPriority w:val="34"/>
    <w:rsid w:val="00DF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a.am/Storage/AM/downloads/FDK/Evaluation%20Reports/mutual_evaluation_report_fifth_a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</dc:creator>
  <cp:keywords>Mulberry 2.0</cp:keywords>
  <dc:description/>
  <cp:lastModifiedBy>Armenak Khachatryan</cp:lastModifiedBy>
  <cp:revision>9</cp:revision>
  <dcterms:created xsi:type="dcterms:W3CDTF">2017-10-16T13:47:00Z</dcterms:created>
  <dcterms:modified xsi:type="dcterms:W3CDTF">2019-03-14T10:36:00Z</dcterms:modified>
</cp:coreProperties>
</file>