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221CA9">
        <w:rPr>
          <w:rFonts w:ascii="GHEA Grapalat" w:hAnsi="GHEA Grapalat" w:cs="Times New Roman"/>
          <w:b/>
          <w:lang w:val="af-ZA"/>
        </w:rPr>
        <w:t>,</w:t>
      </w:r>
      <w:r w:rsidR="00D202E1">
        <w:rPr>
          <w:rFonts w:ascii="GHEA Grapalat" w:hAnsi="GHEA Grapalat" w:cs="Times New Roman"/>
          <w:b/>
          <w:lang w:val="af-ZA"/>
        </w:rPr>
        <w:t xml:space="preserve"> </w:t>
      </w:r>
      <w:r w:rsidR="00203C83" w:rsidRPr="00203C83">
        <w:rPr>
          <w:rFonts w:ascii="GHEA Grapalat" w:hAnsi="GHEA Grapalat" w:cs="Times New Roman"/>
          <w:b/>
          <w:lang w:val="af-ZA"/>
        </w:rPr>
        <w:t>ՀԱՅԱՍՏԱՆԻ ՀԱՆՐԱՊԵՏՈՒԹՅԱՆ 2019 ԹՎԱԿԱՆ</w:t>
      </w:r>
      <w:r w:rsidR="00D202E1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7B1BED" w:rsidRPr="007B1BED">
        <w:rPr>
          <w:rFonts w:ascii="GHEA Grapalat" w:hAnsi="GHEA Grapalat"/>
          <w:i/>
          <w:lang w:val="af-ZA"/>
        </w:rPr>
        <w:t xml:space="preserve">«Ղուլյանն ընդդեմ Հայաստանի» </w:t>
      </w:r>
      <w:r w:rsidR="007B1BED" w:rsidRPr="007B1BED">
        <w:rPr>
          <w:rFonts w:ascii="GHEA Grapalat" w:hAnsi="GHEA Grapalat"/>
          <w:lang w:val="af-ZA"/>
        </w:rPr>
        <w:t>գործով (թիվ 35443/13 գանգատ) 2019 թվականի հունվարի 24-ի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 xml:space="preserve">առաջին </w:t>
      </w:r>
      <w:r w:rsidR="007B1BED">
        <w:rPr>
          <w:rFonts w:ascii="GHEA Grapalat" w:hAnsi="GHEA Grapalat" w:cs="Times New Roman"/>
          <w:lang w:val="af-ZA"/>
        </w:rPr>
        <w:t>կի</w:t>
      </w:r>
      <w:r>
        <w:rPr>
          <w:rFonts w:ascii="GHEA Grapalat" w:hAnsi="GHEA Grapalat" w:cs="Times New Roman"/>
          <w:lang w:val="af-ZA"/>
        </w:rPr>
        <w:t>ս</w:t>
      </w:r>
      <w:r w:rsidR="007B1BED">
        <w:rPr>
          <w:rFonts w:ascii="GHEA Grapalat" w:hAnsi="GHEA Grapalat" w:cs="Times New Roman"/>
          <w:lang w:val="af-ZA"/>
        </w:rPr>
        <w:t>ամ</w:t>
      </w:r>
      <w:r>
        <w:rPr>
          <w:rFonts w:ascii="GHEA Grapalat" w:hAnsi="GHEA Grapalat" w:cs="Times New Roman"/>
          <w:lang w:val="af-ZA"/>
        </w:rPr>
        <w:t>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7B1BED">
        <w:rPr>
          <w:rFonts w:ascii="GHEA Grapalat" w:hAnsi="GHEA Grapalat" w:cs="Times New Roman"/>
          <w:lang w:val="af-ZA"/>
        </w:rPr>
        <w:t>3600</w:t>
      </w:r>
      <w:r w:rsidR="005C7FC9" w:rsidRPr="00E072DB">
        <w:rPr>
          <w:rFonts w:ascii="GHEA Grapalat" w:hAnsi="GHEA Grapalat" w:cs="Times New Roman"/>
          <w:lang w:val="af-ZA"/>
        </w:rPr>
        <w:t xml:space="preserve"> (</w:t>
      </w:r>
      <w:r w:rsidR="007B1BED">
        <w:rPr>
          <w:rFonts w:ascii="GHEA Grapalat" w:hAnsi="GHEA Grapalat" w:cs="Times New Roman"/>
          <w:lang w:val="af-ZA"/>
        </w:rPr>
        <w:t>երեք</w:t>
      </w:r>
      <w:r w:rsidR="005C7FC9" w:rsidRPr="00E072DB">
        <w:rPr>
          <w:rFonts w:ascii="GHEA Grapalat" w:hAnsi="GHEA Grapalat" w:cs="Times New Roman"/>
          <w:lang w:val="af-ZA"/>
        </w:rPr>
        <w:t xml:space="preserve"> հազար</w:t>
      </w:r>
      <w:r w:rsidR="005C7FC9">
        <w:rPr>
          <w:rFonts w:ascii="GHEA Grapalat" w:hAnsi="GHEA Grapalat" w:cs="Times New Roman"/>
          <w:lang w:val="af-ZA"/>
        </w:rPr>
        <w:t xml:space="preserve"> վեց հարյուր</w:t>
      </w:r>
      <w:r w:rsidR="005C7FC9" w:rsidRPr="00E072DB">
        <w:rPr>
          <w:rFonts w:ascii="GHEA Grapalat" w:hAnsi="GHEA Grapalat" w:cs="Times New Roman"/>
          <w:lang w:val="af-ZA"/>
        </w:rPr>
        <w:t>)</w:t>
      </w:r>
      <w:r w:rsidR="005C7FC9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8C9" w:rsidRDefault="007768C9" w:rsidP="00AE00D9">
      <w:r>
        <w:separator/>
      </w:r>
    </w:p>
  </w:endnote>
  <w:endnote w:type="continuationSeparator" w:id="0">
    <w:p w:rsidR="007768C9" w:rsidRDefault="007768C9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7768C9">
    <w:pPr>
      <w:pStyle w:val="Footer"/>
      <w:jc w:val="center"/>
    </w:pPr>
  </w:p>
  <w:p w:rsidR="00E74014" w:rsidRDefault="007768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8C9" w:rsidRDefault="007768C9" w:rsidP="00AE00D9">
      <w:r>
        <w:separator/>
      </w:r>
    </w:p>
  </w:footnote>
  <w:footnote w:type="continuationSeparator" w:id="0">
    <w:p w:rsidR="007768C9" w:rsidRDefault="007768C9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7280F"/>
    <w:rsid w:val="0017692B"/>
    <w:rsid w:val="001A4146"/>
    <w:rsid w:val="001A6FB1"/>
    <w:rsid w:val="001B4FE3"/>
    <w:rsid w:val="001E7802"/>
    <w:rsid w:val="00203C83"/>
    <w:rsid w:val="0022042F"/>
    <w:rsid w:val="00221CA9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C7FC9"/>
    <w:rsid w:val="005D1B5B"/>
    <w:rsid w:val="0062096C"/>
    <w:rsid w:val="00641D88"/>
    <w:rsid w:val="00745B1D"/>
    <w:rsid w:val="0076427E"/>
    <w:rsid w:val="007725A5"/>
    <w:rsid w:val="007768C9"/>
    <w:rsid w:val="007770A3"/>
    <w:rsid w:val="0079444D"/>
    <w:rsid w:val="00796D0F"/>
    <w:rsid w:val="007B1BED"/>
    <w:rsid w:val="007C5783"/>
    <w:rsid w:val="007E4A22"/>
    <w:rsid w:val="008170DD"/>
    <w:rsid w:val="00851DD4"/>
    <w:rsid w:val="00874691"/>
    <w:rsid w:val="008755E9"/>
    <w:rsid w:val="008E62B6"/>
    <w:rsid w:val="00900AFB"/>
    <w:rsid w:val="0095062F"/>
    <w:rsid w:val="009620EA"/>
    <w:rsid w:val="009850A4"/>
    <w:rsid w:val="009872D6"/>
    <w:rsid w:val="009B2CD5"/>
    <w:rsid w:val="009E3DFA"/>
    <w:rsid w:val="00A136F3"/>
    <w:rsid w:val="00A55459"/>
    <w:rsid w:val="00AE00D9"/>
    <w:rsid w:val="00B05F51"/>
    <w:rsid w:val="00B15AEA"/>
    <w:rsid w:val="00BF6A4E"/>
    <w:rsid w:val="00C836AA"/>
    <w:rsid w:val="00CA6575"/>
    <w:rsid w:val="00CF27F4"/>
    <w:rsid w:val="00D202E1"/>
    <w:rsid w:val="00D7726C"/>
    <w:rsid w:val="00D91D09"/>
    <w:rsid w:val="00E5096D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https://mul2.gov.am/tasks/38320/oneclick/naxagic.docx?token=5e8a59674172863d92c66c457488d34e</cp:keywords>
</cp:coreProperties>
</file>