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EE" w:rsidRPr="00EC0B81" w:rsidRDefault="005226EE" w:rsidP="0031590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0B81">
        <w:rPr>
          <w:rFonts w:ascii="GHEA Grapalat" w:hAnsi="GHEA Grapalat" w:cs="Sylfaen"/>
          <w:b/>
          <w:sz w:val="24"/>
          <w:szCs w:val="24"/>
        </w:rPr>
        <w:t xml:space="preserve">  </w:t>
      </w:r>
      <w:r w:rsidRPr="00EC0B81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  <w:r w:rsidRPr="00EC0B81">
        <w:rPr>
          <w:rFonts w:ascii="GHEA Grapalat" w:hAnsi="GHEA Grapalat" w:cs="Sylfaen"/>
          <w:b/>
          <w:sz w:val="24"/>
          <w:szCs w:val="24"/>
        </w:rPr>
        <w:t xml:space="preserve"> </w:t>
      </w:r>
      <w:r w:rsidR="00F165D8">
        <w:rPr>
          <w:rFonts w:ascii="GHEA Grapalat" w:hAnsi="GHEA Grapalat" w:cs="Sylfaen"/>
          <w:b/>
          <w:sz w:val="24"/>
          <w:szCs w:val="24"/>
        </w:rPr>
        <w:t>1</w:t>
      </w:r>
    </w:p>
    <w:p w:rsidR="005226EE" w:rsidRPr="004D4ED7" w:rsidRDefault="004D4ED7" w:rsidP="006E54B3">
      <w:pPr>
        <w:spacing w:after="0" w:line="240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4D4ED7">
        <w:rPr>
          <w:rFonts w:ascii="GHEA Grapalat" w:hAnsi="GHEA Grapalat" w:cs="Aramian"/>
          <w:b/>
          <w:color w:val="000000"/>
          <w:lang w:val="hy-AM"/>
        </w:rPr>
        <w:t xml:space="preserve">«Հայաստանի Հանրապետության կառավարության 2007 թվականի փետրվարի 15-ի </w:t>
      </w:r>
      <w:r w:rsidRPr="004D4ED7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>N</w:t>
      </w:r>
      <w:r w:rsidRPr="004D4ED7">
        <w:rPr>
          <w:rStyle w:val="apple-converted-space"/>
          <w:rFonts w:ascii="GHEA Grapalat" w:hAnsi="GHEA Grapalat" w:cs="Arial"/>
          <w:b/>
          <w:bCs/>
          <w:color w:val="000000"/>
          <w:lang w:val="hy-AM"/>
        </w:rPr>
        <w:t xml:space="preserve"> 383-Ն որոշման մեջ փոփոխություններ և լրացումներ կատարելու, Հայաստանի Հանրապետության կառավարության 1997 թվականի մայիսի 29-ի </w:t>
      </w:r>
      <w:r w:rsidRPr="004D4ED7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>N</w:t>
      </w:r>
      <w:r w:rsidRPr="004D4ED7">
        <w:rPr>
          <w:rStyle w:val="apple-converted-space"/>
          <w:rFonts w:ascii="GHEA Grapalat" w:hAnsi="GHEA Grapalat" w:cs="Arial"/>
          <w:b/>
          <w:bCs/>
          <w:color w:val="000000"/>
          <w:lang w:val="hy-AM"/>
        </w:rPr>
        <w:t xml:space="preserve"> 153 որոշման մեջ փոփոխություններ կատարելու և Հայաստանի Հանրապետության կառավարության 2018 թվականի մարտի 15-ի </w:t>
      </w:r>
      <w:r w:rsidRPr="004D4ED7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>N</w:t>
      </w:r>
      <w:r w:rsidRPr="004D4ED7">
        <w:rPr>
          <w:rStyle w:val="apple-converted-space"/>
          <w:rFonts w:ascii="GHEA Grapalat" w:hAnsi="GHEA Grapalat" w:cs="Arial"/>
          <w:b/>
          <w:bCs/>
          <w:color w:val="000000"/>
          <w:lang w:val="hy-AM"/>
        </w:rPr>
        <w:t xml:space="preserve"> 253-Ն որոշումն ուժը կորցրած ճանաչելու մասին</w:t>
      </w:r>
      <w:r w:rsidRPr="004D4ED7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4D4ED7">
        <w:rPr>
          <w:rFonts w:ascii="GHEA Grapalat" w:hAnsi="GHEA Grapalat"/>
          <w:b/>
          <w:lang w:val="hy-AM"/>
        </w:rPr>
        <w:t xml:space="preserve"> Կառավարության որոշման նախագծի</w:t>
      </w:r>
      <w:r w:rsidR="006E54B3" w:rsidRPr="004D4ED7">
        <w:rPr>
          <w:rFonts w:ascii="GHEA Grapalat" w:hAnsi="GHEA Grapalat"/>
          <w:b/>
          <w:lang w:val="hy-AM"/>
        </w:rPr>
        <w:t xml:space="preserve">  </w:t>
      </w:r>
      <w:r w:rsidR="005226EE" w:rsidRPr="004D4ED7">
        <w:rPr>
          <w:rFonts w:ascii="GHEA Grapalat" w:hAnsi="GHEA Grapalat" w:cs="Sylfaen"/>
          <w:b/>
          <w:lang w:val="hy-AM"/>
        </w:rPr>
        <w:t>վերաբերյալ</w:t>
      </w:r>
      <w:r w:rsidR="005226EE" w:rsidRPr="004D4ED7">
        <w:rPr>
          <w:rFonts w:ascii="GHEA Grapalat" w:hAnsi="GHEA Grapalat"/>
          <w:b/>
          <w:lang w:val="hy-AM"/>
        </w:rPr>
        <w:t xml:space="preserve">  </w:t>
      </w:r>
      <w:r w:rsidR="005226EE" w:rsidRPr="004D4ED7">
        <w:rPr>
          <w:rFonts w:ascii="GHEA Grapalat" w:hAnsi="GHEA Grapalat" w:cs="Sylfaen"/>
          <w:b/>
          <w:lang w:val="hy-AM"/>
        </w:rPr>
        <w:t>շահագրգիռ</w:t>
      </w:r>
      <w:r w:rsidR="005226EE" w:rsidRPr="004D4ED7">
        <w:rPr>
          <w:rFonts w:ascii="GHEA Grapalat" w:hAnsi="GHEA Grapalat"/>
          <w:b/>
          <w:lang w:val="hy-AM"/>
        </w:rPr>
        <w:t xml:space="preserve"> </w:t>
      </w:r>
      <w:r w:rsidR="005226EE" w:rsidRPr="004D4ED7">
        <w:rPr>
          <w:rFonts w:ascii="GHEA Grapalat" w:hAnsi="GHEA Grapalat" w:cs="Sylfaen"/>
          <w:b/>
          <w:lang w:val="hy-AM"/>
        </w:rPr>
        <w:t>մարմինների</w:t>
      </w:r>
      <w:r w:rsidR="005226EE" w:rsidRPr="004D4ED7">
        <w:rPr>
          <w:rFonts w:ascii="GHEA Grapalat" w:hAnsi="GHEA Grapalat"/>
          <w:b/>
          <w:lang w:val="hy-AM"/>
        </w:rPr>
        <w:t xml:space="preserve"> </w:t>
      </w:r>
      <w:r w:rsidR="005226EE" w:rsidRPr="004D4ED7">
        <w:rPr>
          <w:rFonts w:ascii="GHEA Grapalat" w:hAnsi="GHEA Grapalat" w:cs="Sylfaen"/>
          <w:b/>
          <w:lang w:val="hy-AM"/>
        </w:rPr>
        <w:t>առաջարկությունների</w:t>
      </w:r>
      <w:r w:rsidR="005226EE" w:rsidRPr="004D4ED7">
        <w:rPr>
          <w:rFonts w:ascii="GHEA Grapalat" w:hAnsi="GHEA Grapalat"/>
          <w:b/>
          <w:lang w:val="hy-AM"/>
        </w:rPr>
        <w:t xml:space="preserve"> </w:t>
      </w:r>
      <w:r w:rsidR="005226EE" w:rsidRPr="004D4ED7">
        <w:rPr>
          <w:rFonts w:ascii="GHEA Grapalat" w:hAnsi="GHEA Grapalat" w:cs="Sylfaen"/>
          <w:b/>
          <w:lang w:val="hy-AM"/>
        </w:rPr>
        <w:t>և</w:t>
      </w:r>
      <w:r w:rsidR="005226EE" w:rsidRPr="004D4ED7">
        <w:rPr>
          <w:rFonts w:ascii="GHEA Grapalat" w:hAnsi="GHEA Grapalat"/>
          <w:b/>
          <w:lang w:val="hy-AM"/>
        </w:rPr>
        <w:t xml:space="preserve"> </w:t>
      </w:r>
      <w:r w:rsidR="005226EE" w:rsidRPr="004D4ED7">
        <w:rPr>
          <w:rFonts w:ascii="GHEA Grapalat" w:hAnsi="GHEA Grapalat" w:cs="Sylfaen"/>
          <w:b/>
          <w:lang w:val="hy-AM"/>
        </w:rPr>
        <w:t>առարկությունների</w:t>
      </w:r>
    </w:p>
    <w:p w:rsidR="005226EE" w:rsidRPr="00EC0B81" w:rsidRDefault="005226EE" w:rsidP="0031590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8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4253"/>
        <w:gridCol w:w="4111"/>
        <w:gridCol w:w="3795"/>
      </w:tblGrid>
      <w:tr w:rsidR="005226EE" w:rsidRPr="00EC0B81" w:rsidTr="00B57922">
        <w:trPr>
          <w:trHeight w:val="24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¸</w:t>
            </w:r>
          </w:p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ստացման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EC0B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C0B8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C0B8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EC0B81" w:rsidRDefault="005226EE" w:rsidP="005C1FA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bookmarkStart w:id="0" w:name="_GoBack"/>
            <w:bookmarkEnd w:id="0"/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EC0B8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փոփոխ</w:t>
            </w:r>
            <w:proofErr w:type="spellEnd"/>
            <w:r w:rsidRPr="00EC0B8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</w:t>
            </w:r>
            <w:proofErr w:type="spellStart"/>
            <w:r w:rsidRPr="00EC0B81">
              <w:rPr>
                <w:rFonts w:ascii="GHEA Grapalat" w:hAnsi="GHEA Grapalat" w:cs="Sylfaen"/>
                <w:b/>
                <w:sz w:val="24"/>
                <w:szCs w:val="24"/>
              </w:rPr>
              <w:t>ւթյունները</w:t>
            </w:r>
            <w:proofErr w:type="spellEnd"/>
          </w:p>
        </w:tc>
      </w:tr>
      <w:tr w:rsidR="004D2283" w:rsidRPr="00EC0B81" w:rsidTr="00B57922">
        <w:trPr>
          <w:trHeight w:val="1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6255F2" w:rsidRDefault="00FF1693" w:rsidP="00315904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Արտակարգ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իրավիճակների</w:t>
            </w:r>
            <w:r w:rsidR="004D2283" w:rsidRPr="006255F2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D2283"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af-ZA"/>
              </w:rPr>
              <w:t>նախարարություն</w:t>
            </w:r>
          </w:p>
          <w:p w:rsidR="004D2283" w:rsidRPr="006255F2" w:rsidRDefault="00FF1693" w:rsidP="00315904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09.11</w:t>
            </w:r>
            <w:r w:rsidR="004D2283"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.2018թ.</w:t>
            </w:r>
          </w:p>
          <w:p w:rsidR="004D2283" w:rsidRPr="006255F2" w:rsidRDefault="004D2283" w:rsidP="00FF1693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255F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թիվ  </w:t>
            </w:r>
            <w:r w:rsidR="00FF1693" w:rsidRPr="006255F2">
              <w:rPr>
                <w:rFonts w:ascii="GHEA Grapalat" w:hAnsi="GHEA Grapalat"/>
                <w:color w:val="000000" w:themeColor="text1"/>
                <w:sz w:val="24"/>
                <w:szCs w:val="24"/>
              </w:rPr>
              <w:t>1/06.1/13496-18</w:t>
            </w:r>
            <w:r w:rsidR="00A50883" w:rsidRPr="006255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50883"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>գրություն</w:t>
            </w:r>
            <w:r w:rsidRPr="006255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6255F2" w:rsidRDefault="004D2283" w:rsidP="00315904">
            <w:pPr>
              <w:spacing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255F2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</w:t>
            </w:r>
            <w:r w:rsidRPr="006255F2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4D2283" w:rsidRPr="006255F2" w:rsidRDefault="004D2283" w:rsidP="00315904">
            <w:pPr>
              <w:spacing w:after="0" w:line="240" w:lineRule="auto"/>
              <w:ind w:firstLine="31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  <w:lang w:val="af-Z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6255F2" w:rsidRDefault="004D2283" w:rsidP="0031590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6255F2" w:rsidRDefault="004D2283" w:rsidP="00315904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A50883" w:rsidRPr="00FF1693" w:rsidTr="00B57922">
        <w:trPr>
          <w:trHeight w:val="1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83" w:rsidRPr="006255F2" w:rsidRDefault="00FF1693" w:rsidP="00A5088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Տրանսպորտի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, 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կապի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և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տեղեկատվական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տեխնոլոգիաների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նախարարություն</w:t>
            </w:r>
          </w:p>
          <w:p w:rsidR="00A50883" w:rsidRPr="006255F2" w:rsidRDefault="00FF1693" w:rsidP="00A5088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19</w:t>
            </w:r>
            <w:r w:rsidR="00A50883"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</w:t>
            </w:r>
            <w:r w:rsidR="003D3851"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="00A50883"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.2018թ.</w:t>
            </w:r>
          </w:p>
          <w:p w:rsidR="00A50883" w:rsidRPr="006255F2" w:rsidRDefault="00A50883" w:rsidP="00FF169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255F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թիվ </w:t>
            </w:r>
            <w:r w:rsidR="00FF1693" w:rsidRPr="006255F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01/16.</w:t>
            </w:r>
            <w:r w:rsidR="00FF1693" w:rsidRPr="006255F2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1/18634-18</w:t>
            </w:r>
            <w:r w:rsidR="003D3851" w:rsidRPr="006255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>գրություն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7F" w:rsidRPr="006255F2" w:rsidRDefault="00075B7F" w:rsidP="00075B7F">
            <w:pPr>
              <w:tabs>
                <w:tab w:val="left" w:pos="709"/>
              </w:tabs>
              <w:spacing w:after="0" w:line="240" w:lineRule="auto"/>
              <w:ind w:right="274"/>
              <w:jc w:val="both"/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</w:pP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Նախագծի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վերաբերյալ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առարկություններ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չունենք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հաշվի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առնելով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որ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կառավարության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2018 թվականի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մարտի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15-ի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>N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253-Ն որոշման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6-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րդ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կետով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սահմանված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ժամկետը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չի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ապահովվել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ինչի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կառավարությանը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տեղեկացվել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է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>Քաղաքացիական</w:t>
            </w:r>
            <w:proofErr w:type="spellEnd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>ավիացիայի</w:t>
            </w:r>
            <w:proofErr w:type="spellEnd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>կոմիտեի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նախագահի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տեղակալի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2018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հուլիսի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12-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N1.3/9.1/1482-18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նախագահի՝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lastRenderedPageBreak/>
              <w:t xml:space="preserve">2018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սեպտեմբերի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27-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N1.1/9.1/2105-18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գրություններով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>:</w:t>
            </w:r>
          </w:p>
          <w:p w:rsidR="00075B7F" w:rsidRPr="006255F2" w:rsidRDefault="00075B7F" w:rsidP="00075B7F">
            <w:pPr>
              <w:tabs>
                <w:tab w:val="left" w:pos="709"/>
              </w:tabs>
              <w:spacing w:after="0" w:line="240" w:lineRule="auto"/>
              <w:ind w:right="274"/>
              <w:jc w:val="both"/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</w:pP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Միաժամանակ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նախագծին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կից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հիմնավորման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վերաբերյալ ունեմ հետևյալ առարկությունները.</w:t>
            </w:r>
          </w:p>
          <w:p w:rsidR="00075B7F" w:rsidRPr="006255F2" w:rsidRDefault="00075B7F" w:rsidP="00075B7F">
            <w:pPr>
              <w:tabs>
                <w:tab w:val="left" w:pos="709"/>
              </w:tabs>
              <w:spacing w:after="0" w:line="240" w:lineRule="auto"/>
              <w:ind w:right="274" w:firstLine="720"/>
              <w:jc w:val="both"/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</w:pPr>
          </w:p>
          <w:p w:rsidR="00075B7F" w:rsidRPr="006255F2" w:rsidRDefault="00075B7F" w:rsidP="00075B7F">
            <w:pPr>
              <w:tabs>
                <w:tab w:val="left" w:pos="284"/>
              </w:tabs>
              <w:spacing w:after="0" w:line="240" w:lineRule="auto"/>
              <w:ind w:right="274"/>
              <w:jc w:val="both"/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</w:pP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>1.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Տեխնիկական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կարգավորման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լիազոր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մարմինը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տվյալ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դեպքում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>Քաղաքացիական</w:t>
            </w:r>
            <w:proofErr w:type="spellEnd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>ավիացիայի</w:t>
            </w:r>
            <w:proofErr w:type="spellEnd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>կոմիտեն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և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</w:rPr>
              <w:t>Հայաէրոնավիգացիա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»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փակ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բաժնետիրական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ընկերությունը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նույնանման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մարմիններ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չեն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քանզի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առաջինը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հանդիսանում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է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գերատեսչական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մարմին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իսկ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երկրորդը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՝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փակ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բաժնետիրական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ընկերություն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>:</w:t>
            </w:r>
          </w:p>
          <w:p w:rsidR="00075B7F" w:rsidRPr="006255F2" w:rsidRDefault="00075B7F" w:rsidP="00075B7F">
            <w:pPr>
              <w:tabs>
                <w:tab w:val="left" w:pos="284"/>
              </w:tabs>
              <w:spacing w:after="0" w:line="240" w:lineRule="auto"/>
              <w:ind w:right="274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>2.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Անկախ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գերատեսչական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ենթակայությունից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ինչպես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</w:rPr>
              <w:t>Հայաէրոնավիգացիա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»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փակ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բաժնետիրական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ընկերությունում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այնպես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էլ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</w:rPr>
              <w:t>Զվարթնոց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» ավիաօդերևութաբանական կենտրոն»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փակ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բաժնետիրական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ընկերությունում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>Քաղաքացիական</w:t>
            </w:r>
            <w:proofErr w:type="spellEnd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>ավիացիայի</w:t>
            </w:r>
            <w:proofErr w:type="spellEnd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sz w:val="24"/>
                <w:szCs w:val="24"/>
                <w:lang w:val="fr-FR"/>
              </w:rPr>
              <w:t>կոմիտեի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կողմից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իրականացվում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է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աուդիտ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՝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ուղղված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թռիչքների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անվտանգության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ապահովմանը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համաձայն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>20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>08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թվականի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lastRenderedPageBreak/>
              <w:t>հունիսի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19-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ի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N744-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Ն</w:t>
            </w:r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որոշմամբ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</w:rPr>
              <w:t>հաստատված</w:t>
            </w:r>
            <w:proofErr w:type="spellEnd"/>
            <w:r w:rsidRPr="006255F2"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</w:rPr>
              <w:t>Օ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դային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երթևեկության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կազմակերպման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րոնավիգացիոն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կապի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դիտարկման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րոնավիգացիայի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օ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դերևութաբանական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ապահովման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րոնավիգացիոն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տեղեկատվության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ծառայություն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կազմակերպություններին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թ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ույլտվություն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տալու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» 8-րդ գլխի դրույթների:</w:t>
            </w:r>
          </w:p>
          <w:p w:rsidR="00A50883" w:rsidRPr="006255F2" w:rsidRDefault="00075B7F" w:rsidP="00075B7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Քաղաքացիական ավիացիայի միջազգային կազմակերպության (այսուհետ՝ ԻԿԱՕ) </w:t>
            </w:r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</w:rPr>
              <w:t>Ավիացիոն</w:t>
            </w:r>
            <w:proofErr w:type="spellEnd"/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55F2">
              <w:rPr>
                <w:rFonts w:ascii="GHEA Grapalat" w:hAnsi="GHEA Grapalat" w:cs="Aramian"/>
                <w:color w:val="000000"/>
                <w:sz w:val="24"/>
                <w:szCs w:val="24"/>
              </w:rPr>
              <w:t>օդերևութաբանություն</w:t>
            </w:r>
            <w:proofErr w:type="spellEnd"/>
            <w:r w:rsidRPr="006255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» N8896/AN893 (Doc. 8896/AN893) ձեռնարկի 1-ին գլխի 1.1.5 ենթակետի (կցվում է) վրա կատարված հղումը տեղին չէ քանի, որ համաձայն վերջինիս տվյալ հարցի շուրջ ԻԿԱՕ-ի կողմից ներկայումս որևէ հստակ մոտեցում սահմնաված չէ, ավելին հիշյալ ենթակետում ներկայացված են տարբերակված մոտեցումներ՝ կապված վերահսկողության հետ: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83" w:rsidRPr="006255F2" w:rsidRDefault="00A50883" w:rsidP="0031590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83" w:rsidRPr="006255F2" w:rsidRDefault="00075B7F" w:rsidP="00315904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  <w:r w:rsidRPr="006255F2">
              <w:rPr>
                <w:rFonts w:ascii="GHEA Grapalat" w:hAnsi="GHEA Grapalat" w:cs="Arial"/>
                <w:sz w:val="24"/>
                <w:szCs w:val="24"/>
                <w:lang w:val="ru-RU"/>
              </w:rPr>
              <w:t>Ընդունվել է ի գիտություն:</w:t>
            </w:r>
          </w:p>
        </w:tc>
      </w:tr>
      <w:tr w:rsidR="00FF1693" w:rsidRPr="00FF1693" w:rsidTr="00B57922">
        <w:trPr>
          <w:trHeight w:val="1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93" w:rsidRPr="006255F2" w:rsidRDefault="00FF1693" w:rsidP="00A5088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lastRenderedPageBreak/>
              <w:t>Ֆինանսների նախար</w:t>
            </w:r>
            <w:proofErr w:type="spellStart"/>
            <w:r w:rsidR="006255F2"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</w:t>
            </w:r>
            <w:proofErr w:type="spellEnd"/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ություն</w:t>
            </w:r>
          </w:p>
          <w:p w:rsidR="00FF1693" w:rsidRPr="006255F2" w:rsidRDefault="00FF1693" w:rsidP="00A5088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09.11.2018թ.</w:t>
            </w:r>
          </w:p>
          <w:p w:rsidR="00FF1693" w:rsidRPr="006255F2" w:rsidRDefault="00FF1693" w:rsidP="00A50883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Թիվ 01/11-1/20396-18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93" w:rsidRPr="006255F2" w:rsidRDefault="00FF1693" w:rsidP="00FF1693">
            <w:pPr>
              <w:spacing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255F2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</w:t>
            </w:r>
            <w:r w:rsidRPr="006255F2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FF1693" w:rsidRPr="006255F2" w:rsidRDefault="00FF1693" w:rsidP="004D23CA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93" w:rsidRPr="006255F2" w:rsidRDefault="00FF1693" w:rsidP="0031590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93" w:rsidRPr="006255F2" w:rsidRDefault="00FF1693" w:rsidP="00315904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9D38BA" w:rsidRPr="00B57922" w:rsidTr="00B57922">
        <w:trPr>
          <w:trHeight w:val="8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BA" w:rsidRPr="006255F2" w:rsidRDefault="009D38BA" w:rsidP="009D38BA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lastRenderedPageBreak/>
              <w:t>Արդարադատության</w:t>
            </w:r>
            <w:proofErr w:type="spellEnd"/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նախար</w:t>
            </w:r>
            <w:proofErr w:type="spellStart"/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</w:t>
            </w:r>
            <w:proofErr w:type="spellEnd"/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ություն</w:t>
            </w:r>
          </w:p>
          <w:p w:rsidR="009D38BA" w:rsidRPr="006255F2" w:rsidRDefault="009D38BA" w:rsidP="009D38BA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20.12</w:t>
            </w: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.2018թ.</w:t>
            </w:r>
          </w:p>
          <w:p w:rsidR="009D38BA" w:rsidRPr="006255F2" w:rsidRDefault="009D38BA" w:rsidP="009D38BA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6255F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Թիվ </w:t>
            </w:r>
            <w:r w:rsidRPr="009D38BA">
              <w:rPr>
                <w:rFonts w:ascii="GHEA Grapalat" w:hAnsi="GHEA Grapalat"/>
                <w:color w:val="000000"/>
                <w:sz w:val="24"/>
                <w:szCs w:val="24"/>
              </w:rPr>
              <w:t>01/14/631087-18</w:t>
            </w:r>
          </w:p>
          <w:p w:rsidR="009D38BA" w:rsidRDefault="009D38BA" w:rsidP="009D38BA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</w:p>
          <w:p w:rsidR="009D38BA" w:rsidRPr="009D38BA" w:rsidRDefault="009D38BA" w:rsidP="009D38BA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9D38BA" w:rsidRPr="009D38BA" w:rsidRDefault="009D38BA" w:rsidP="009D38BA">
            <w:pPr>
              <w:jc w:val="right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BA" w:rsidRDefault="009D38BA" w:rsidP="00FF1693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Default="009D38BA" w:rsidP="009D38BA">
            <w:pPr>
              <w:tabs>
                <w:tab w:val="left" w:pos="301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:rsidR="009D38BA" w:rsidRP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Default="009D38BA" w:rsidP="009D38B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tabs>
                <w:tab w:val="left" w:pos="15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BA" w:rsidRPr="009D38BA" w:rsidRDefault="009D38BA" w:rsidP="00B57922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B5792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«ՀայաստանիՀանրապետության</w:t>
            </w:r>
            <w:r w:rsidR="00B5792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B5792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կառավարության 2007 թվականի փետրվարի 15-ի N 383-Ն որոշման մեջ փոփոխություններ և լրացումներ կատարելու, Հայաստանի Հանրապետության կառավարության 1997 թվականի մայիսի 29-ի N 153 որոշման մեջ փոփոխություններ կատարելու և Հայաստանի Հանրապետության կառավարության 2018 թվականի մարտի 15-ի N 253-Ն որոշումն ուժը կորցրած ճանաչելու մասին» Կառավարության որոշման նախագիծը համապատասխանում է Հայաստանի Հանրապետության օրենսդրությանը:</w:t>
            </w:r>
            <w:r w:rsidR="00B57922" w:rsidRPr="009D38B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BA" w:rsidRDefault="009D38BA" w:rsidP="00315904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38BA" w:rsidRPr="009D38BA" w:rsidRDefault="009D38BA" w:rsidP="009D38BA">
            <w:pPr>
              <w:tabs>
                <w:tab w:val="left" w:pos="1335"/>
              </w:tabs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ab/>
            </w:r>
          </w:p>
        </w:tc>
      </w:tr>
    </w:tbl>
    <w:p w:rsidR="005226EE" w:rsidRPr="00EC0B81" w:rsidRDefault="005226EE" w:rsidP="0031590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2C5989" w:rsidRPr="00EC0B81" w:rsidRDefault="002C5989" w:rsidP="0031590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2C5989" w:rsidRPr="00EC0B81" w:rsidSect="003D3851">
      <w:pgSz w:w="15840" w:h="12240" w:orient="landscape"/>
      <w:pgMar w:top="851" w:right="144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7D7"/>
    <w:multiLevelType w:val="hybridMultilevel"/>
    <w:tmpl w:val="16C6EA50"/>
    <w:lvl w:ilvl="0" w:tplc="33C6A6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544AD8"/>
    <w:multiLevelType w:val="hybridMultilevel"/>
    <w:tmpl w:val="0BC4D28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1C5CE4"/>
    <w:multiLevelType w:val="hybridMultilevel"/>
    <w:tmpl w:val="582278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40ABD"/>
    <w:multiLevelType w:val="hybridMultilevel"/>
    <w:tmpl w:val="CD0E2864"/>
    <w:lvl w:ilvl="0" w:tplc="52CE194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">
    <w:nsid w:val="5DAF49DD"/>
    <w:multiLevelType w:val="hybridMultilevel"/>
    <w:tmpl w:val="8EE8C3AC"/>
    <w:lvl w:ilvl="0" w:tplc="6D7A76D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6F3D47CF"/>
    <w:multiLevelType w:val="hybridMultilevel"/>
    <w:tmpl w:val="602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26EE"/>
    <w:rsid w:val="00016B76"/>
    <w:rsid w:val="00023D0E"/>
    <w:rsid w:val="00025641"/>
    <w:rsid w:val="0006293A"/>
    <w:rsid w:val="00063EE3"/>
    <w:rsid w:val="000650AC"/>
    <w:rsid w:val="00075B7F"/>
    <w:rsid w:val="00091AE9"/>
    <w:rsid w:val="00097D08"/>
    <w:rsid w:val="000E0356"/>
    <w:rsid w:val="00113D86"/>
    <w:rsid w:val="001560D5"/>
    <w:rsid w:val="00170FAB"/>
    <w:rsid w:val="00174D5D"/>
    <w:rsid w:val="00176F07"/>
    <w:rsid w:val="001B3978"/>
    <w:rsid w:val="001C35D3"/>
    <w:rsid w:val="001D3D67"/>
    <w:rsid w:val="00210C61"/>
    <w:rsid w:val="00234D13"/>
    <w:rsid w:val="00236A8E"/>
    <w:rsid w:val="0025482B"/>
    <w:rsid w:val="00266ABB"/>
    <w:rsid w:val="002742BC"/>
    <w:rsid w:val="00286EEE"/>
    <w:rsid w:val="00287DB0"/>
    <w:rsid w:val="00291151"/>
    <w:rsid w:val="002B0BE9"/>
    <w:rsid w:val="002B15F0"/>
    <w:rsid w:val="002B34A2"/>
    <w:rsid w:val="002B6D8F"/>
    <w:rsid w:val="002C5989"/>
    <w:rsid w:val="002D6D7A"/>
    <w:rsid w:val="002F004F"/>
    <w:rsid w:val="00303494"/>
    <w:rsid w:val="00304F77"/>
    <w:rsid w:val="00315904"/>
    <w:rsid w:val="003213AA"/>
    <w:rsid w:val="0032254F"/>
    <w:rsid w:val="00334C40"/>
    <w:rsid w:val="00350B7F"/>
    <w:rsid w:val="0035108A"/>
    <w:rsid w:val="003A318E"/>
    <w:rsid w:val="003C2316"/>
    <w:rsid w:val="003C7259"/>
    <w:rsid w:val="003D3851"/>
    <w:rsid w:val="003E13FD"/>
    <w:rsid w:val="003E2D27"/>
    <w:rsid w:val="003E5C4E"/>
    <w:rsid w:val="003E758F"/>
    <w:rsid w:val="003F21D4"/>
    <w:rsid w:val="004010C4"/>
    <w:rsid w:val="00445A1F"/>
    <w:rsid w:val="00452A5C"/>
    <w:rsid w:val="00454438"/>
    <w:rsid w:val="00473572"/>
    <w:rsid w:val="00485A90"/>
    <w:rsid w:val="004925DD"/>
    <w:rsid w:val="004A629E"/>
    <w:rsid w:val="004B3614"/>
    <w:rsid w:val="004C044D"/>
    <w:rsid w:val="004C1782"/>
    <w:rsid w:val="004D2283"/>
    <w:rsid w:val="004D23CA"/>
    <w:rsid w:val="004D4ED7"/>
    <w:rsid w:val="004D7911"/>
    <w:rsid w:val="004E2461"/>
    <w:rsid w:val="004F1345"/>
    <w:rsid w:val="00500865"/>
    <w:rsid w:val="005011FB"/>
    <w:rsid w:val="0050397A"/>
    <w:rsid w:val="00504814"/>
    <w:rsid w:val="0052056D"/>
    <w:rsid w:val="005226EE"/>
    <w:rsid w:val="00532E53"/>
    <w:rsid w:val="00536BCE"/>
    <w:rsid w:val="00537822"/>
    <w:rsid w:val="00544CCA"/>
    <w:rsid w:val="00550F35"/>
    <w:rsid w:val="00554A35"/>
    <w:rsid w:val="00566DC9"/>
    <w:rsid w:val="005762BA"/>
    <w:rsid w:val="00581A5A"/>
    <w:rsid w:val="00590A17"/>
    <w:rsid w:val="005B5EDD"/>
    <w:rsid w:val="005C022A"/>
    <w:rsid w:val="005C1FA6"/>
    <w:rsid w:val="005D6C62"/>
    <w:rsid w:val="005F684A"/>
    <w:rsid w:val="00604717"/>
    <w:rsid w:val="006255F2"/>
    <w:rsid w:val="0067059F"/>
    <w:rsid w:val="006774EE"/>
    <w:rsid w:val="00693BAF"/>
    <w:rsid w:val="006A0C85"/>
    <w:rsid w:val="006A39F4"/>
    <w:rsid w:val="006C374B"/>
    <w:rsid w:val="006D64A2"/>
    <w:rsid w:val="006D6592"/>
    <w:rsid w:val="006E54B3"/>
    <w:rsid w:val="006F255C"/>
    <w:rsid w:val="006F4EE0"/>
    <w:rsid w:val="00700C7B"/>
    <w:rsid w:val="0070556C"/>
    <w:rsid w:val="007176E1"/>
    <w:rsid w:val="00735FD9"/>
    <w:rsid w:val="00754EB0"/>
    <w:rsid w:val="00767086"/>
    <w:rsid w:val="0077210B"/>
    <w:rsid w:val="00781534"/>
    <w:rsid w:val="0079012A"/>
    <w:rsid w:val="007B2E42"/>
    <w:rsid w:val="007C3B73"/>
    <w:rsid w:val="007D17E3"/>
    <w:rsid w:val="007D5913"/>
    <w:rsid w:val="00845A3F"/>
    <w:rsid w:val="00851B76"/>
    <w:rsid w:val="008848F5"/>
    <w:rsid w:val="00887A49"/>
    <w:rsid w:val="008A0C78"/>
    <w:rsid w:val="008A4FB4"/>
    <w:rsid w:val="008B0A32"/>
    <w:rsid w:val="008F1352"/>
    <w:rsid w:val="009257FB"/>
    <w:rsid w:val="00926490"/>
    <w:rsid w:val="00940969"/>
    <w:rsid w:val="00944305"/>
    <w:rsid w:val="0096217D"/>
    <w:rsid w:val="0097025B"/>
    <w:rsid w:val="009909B5"/>
    <w:rsid w:val="00991628"/>
    <w:rsid w:val="009A2BEA"/>
    <w:rsid w:val="009B058D"/>
    <w:rsid w:val="009B08BA"/>
    <w:rsid w:val="009B6B5C"/>
    <w:rsid w:val="009C4535"/>
    <w:rsid w:val="009D38BA"/>
    <w:rsid w:val="009E789F"/>
    <w:rsid w:val="00A103E0"/>
    <w:rsid w:val="00A36251"/>
    <w:rsid w:val="00A5007D"/>
    <w:rsid w:val="00A50883"/>
    <w:rsid w:val="00A62857"/>
    <w:rsid w:val="00A637D1"/>
    <w:rsid w:val="00A66ACC"/>
    <w:rsid w:val="00A75DD6"/>
    <w:rsid w:val="00A77403"/>
    <w:rsid w:val="00AA1879"/>
    <w:rsid w:val="00AD24A0"/>
    <w:rsid w:val="00AD27C8"/>
    <w:rsid w:val="00AF27D1"/>
    <w:rsid w:val="00B3521C"/>
    <w:rsid w:val="00B426CF"/>
    <w:rsid w:val="00B44AF1"/>
    <w:rsid w:val="00B50E5B"/>
    <w:rsid w:val="00B57922"/>
    <w:rsid w:val="00B64CB1"/>
    <w:rsid w:val="00BB5DDC"/>
    <w:rsid w:val="00BC6A24"/>
    <w:rsid w:val="00BD1B63"/>
    <w:rsid w:val="00BD6C48"/>
    <w:rsid w:val="00BD7FE6"/>
    <w:rsid w:val="00C2777F"/>
    <w:rsid w:val="00C530F0"/>
    <w:rsid w:val="00C5315F"/>
    <w:rsid w:val="00C6481B"/>
    <w:rsid w:val="00C6699F"/>
    <w:rsid w:val="00C830E2"/>
    <w:rsid w:val="00C95964"/>
    <w:rsid w:val="00CB1B5B"/>
    <w:rsid w:val="00CC7454"/>
    <w:rsid w:val="00CD0185"/>
    <w:rsid w:val="00CD1CEC"/>
    <w:rsid w:val="00CF37F1"/>
    <w:rsid w:val="00D00984"/>
    <w:rsid w:val="00D31BF2"/>
    <w:rsid w:val="00D41BBF"/>
    <w:rsid w:val="00D445BF"/>
    <w:rsid w:val="00D468E2"/>
    <w:rsid w:val="00D70EF6"/>
    <w:rsid w:val="00DC6FB9"/>
    <w:rsid w:val="00DD215F"/>
    <w:rsid w:val="00DE21FF"/>
    <w:rsid w:val="00E0083A"/>
    <w:rsid w:val="00E233F8"/>
    <w:rsid w:val="00E3171B"/>
    <w:rsid w:val="00E422E5"/>
    <w:rsid w:val="00E620CE"/>
    <w:rsid w:val="00E81A43"/>
    <w:rsid w:val="00E8517D"/>
    <w:rsid w:val="00EA4DCE"/>
    <w:rsid w:val="00EA6786"/>
    <w:rsid w:val="00EC0B81"/>
    <w:rsid w:val="00EC56F4"/>
    <w:rsid w:val="00ED3E3F"/>
    <w:rsid w:val="00ED7D16"/>
    <w:rsid w:val="00EE3AD8"/>
    <w:rsid w:val="00EE6F7E"/>
    <w:rsid w:val="00EE7D2C"/>
    <w:rsid w:val="00EF401A"/>
    <w:rsid w:val="00F05925"/>
    <w:rsid w:val="00F12302"/>
    <w:rsid w:val="00F165D8"/>
    <w:rsid w:val="00F56632"/>
    <w:rsid w:val="00F91728"/>
    <w:rsid w:val="00FB27EC"/>
    <w:rsid w:val="00FB3A64"/>
    <w:rsid w:val="00FC4636"/>
    <w:rsid w:val="00FD4262"/>
    <w:rsid w:val="00FF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26E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51B76"/>
    <w:pPr>
      <w:ind w:left="720"/>
      <w:contextualSpacing/>
    </w:pPr>
    <w:rPr>
      <w:rFonts w:eastAsiaTheme="minorHAnsi"/>
      <w:lang w:val="ru-R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012A"/>
    <w:rPr>
      <w:rFonts w:eastAsiaTheme="minorHAnsi"/>
      <w:lang w:val="ru-RU"/>
    </w:rPr>
  </w:style>
  <w:style w:type="paragraph" w:customStyle="1" w:styleId="mechtex">
    <w:name w:val="mechtex"/>
    <w:basedOn w:val="Normal"/>
    <w:link w:val="mechtexChar"/>
    <w:uiPriority w:val="99"/>
    <w:rsid w:val="003213A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rsid w:val="003213A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t101">
    <w:name w:val="t101"/>
    <w:rsid w:val="003213AA"/>
    <w:rPr>
      <w:b/>
      <w:bCs/>
      <w:color w:val="0000FF"/>
    </w:rPr>
  </w:style>
  <w:style w:type="paragraph" w:styleId="NormalWeb">
    <w:name w:val="Normal (Web)"/>
    <w:basedOn w:val="Normal"/>
    <w:uiPriority w:val="99"/>
    <w:unhideWhenUsed/>
    <w:rsid w:val="00B4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4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D4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B832-25BF-4756-AEDF-01C4C7C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