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1D" w:rsidRDefault="00F11A1D" w:rsidP="00D4681E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FB7480">
        <w:rPr>
          <w:rFonts w:ascii="GHEA Grapalat" w:hAnsi="GHEA Grapalat"/>
          <w:sz w:val="24"/>
          <w:szCs w:val="24"/>
        </w:rPr>
        <w:t>ԱՄՓՈՓԱԹԵՐԹ</w:t>
      </w:r>
    </w:p>
    <w:p w:rsidR="00563CDB" w:rsidRPr="00FB7480" w:rsidRDefault="00563CDB" w:rsidP="00D4681E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F11A1D" w:rsidRDefault="004A3D31" w:rsidP="00D4681E">
      <w:pPr>
        <w:pStyle w:val="Heading4"/>
        <w:ind w:firstLine="567"/>
        <w:jc w:val="center"/>
        <w:rPr>
          <w:rFonts w:ascii="GHEA Grapalat" w:hAnsi="GHEA Grapalat" w:cs="Sylfaen"/>
          <w:szCs w:val="24"/>
          <w:lang w:val="hy-AM"/>
        </w:rPr>
      </w:pPr>
      <w:r w:rsidRPr="00FB7480">
        <w:rPr>
          <w:rFonts w:ascii="GHEA Grapalat" w:hAnsi="GHEA Grapalat"/>
          <w:szCs w:val="24"/>
          <w:lang w:val="hy-AM"/>
        </w:rPr>
        <w:t>«</w:t>
      </w:r>
      <w:r w:rsidR="00563CDB">
        <w:rPr>
          <w:rFonts w:ascii="GHEA Grapalat" w:hAnsi="GHEA Grapalat"/>
          <w:lang w:val="hy-AM"/>
        </w:rPr>
        <w:t>ՀԱՅԱՍՏԱՆԻ ՀԱՆՐԱՊԵՏՈՒԹՅԱՆ 2019 ԹՎԱԿԱՆԻ ՊԵՏԱԿԱՆ ԲՅՈՒՋԵՈՒՄ ՎԵՐԱԲԱՇԽՈՒՄ,  ՀԱՅԱՍՏԱՆԻ ՀԱՆՐԱՊԵՏՈՒԹՅԱՆ ԿԱՌԱՎԱՐՈՒԹՅԱՆ 2018 ԹՎԱԿԱՆԻ ԴԵԿՏԵՄԲԵՐԻ 27-Ի N 1515-Ն ՈՐՈՇՄԱՆ ՄԵՋ  ԼՐԱՑՈՒՄՆԵՐ ԵՎ ՓՈՓՈԽՈՒԹՅՈՒՆՆԵՐ ԿԱՏԱՐԵԼՈՒ ԵՎ  ՀԱՅԱՍՏԱՆԻ ՀԱՆՐԱՊԵՏՈՒԹՅԱՆ ՏՆՏԵՍԱԿԱՆ ԶԱՐԳԱՑՄԱՆ և ՆԵՐԴՐՈՒՄՆԵՐԻ ՆԱԽԱՐԱՐՈՒԹՅԱՆ ՊԵՏԱԿԱՆ ԳՈՒՅՔԻ ԿԱՌԱՎԱՐՄԱՆ ԿՈՄԻՏԵԻՆ ԳՈՒՄԱՐ ՀԱՏԿԱՑՆԵԼՈՒ ՄԱՍԻՆ</w:t>
      </w:r>
      <w:r w:rsidRPr="00FB7480">
        <w:rPr>
          <w:rFonts w:ascii="GHEA Grapalat" w:hAnsi="GHEA Grapalat"/>
          <w:color w:val="000000"/>
          <w:szCs w:val="24"/>
          <w:lang w:val="hy-AM"/>
        </w:rPr>
        <w:t>»</w:t>
      </w:r>
      <w:r w:rsidRPr="00FB7480">
        <w:rPr>
          <w:rFonts w:ascii="GHEA Grapalat" w:eastAsia="Calibri" w:hAnsi="GHEA Grapalat"/>
          <w:noProof/>
          <w:szCs w:val="24"/>
          <w:lang w:val="hy-AM"/>
        </w:rPr>
        <w:t xml:space="preserve"> </w:t>
      </w:r>
      <w:r w:rsidR="00563CDB" w:rsidRPr="00FB7480">
        <w:rPr>
          <w:rFonts w:ascii="GHEA Grapalat" w:eastAsia="Calibri" w:hAnsi="GHEA Grapalat"/>
          <w:noProof/>
          <w:szCs w:val="24"/>
          <w:lang w:val="hy-AM"/>
        </w:rPr>
        <w:t xml:space="preserve">ՀՀ ԿԱՌԱՎԱՐՈՒԹՅԱՆ </w:t>
      </w:r>
      <w:r w:rsidR="00563CDB" w:rsidRPr="00FB7480">
        <w:rPr>
          <w:rFonts w:ascii="GHEA Grapalat" w:hAnsi="GHEA Grapalat" w:cs="Sylfaen"/>
          <w:bCs/>
          <w:iCs/>
          <w:szCs w:val="24"/>
          <w:lang w:val="hy-AM"/>
        </w:rPr>
        <w:t>ՈՐՈՇՄԱՆ</w:t>
      </w:r>
      <w:r w:rsidR="00563CDB" w:rsidRPr="00FB7480">
        <w:rPr>
          <w:rFonts w:ascii="GHEA Grapalat" w:hAnsi="GHEA Grapalat" w:cs="Sylfaen"/>
          <w:bCs/>
          <w:iCs/>
          <w:szCs w:val="24"/>
          <w:lang w:val="af-ZA"/>
        </w:rPr>
        <w:t xml:space="preserve"> </w:t>
      </w:r>
      <w:r w:rsidR="00563CDB" w:rsidRPr="00FB7480">
        <w:rPr>
          <w:rFonts w:ascii="GHEA Grapalat" w:hAnsi="GHEA Grapalat"/>
          <w:szCs w:val="24"/>
          <w:lang w:val="hy-AM"/>
        </w:rPr>
        <w:t xml:space="preserve">ՆԱԽԱԳԾԻ ՎԵՐԱԲԵՐՅԱԼ ՀԱՆՐԱՅԻՆ ԻՇԽԱՆՈՒԹՅԱՆ ՄԱՐՄԻՆՆԵՐԻՑ ՍՏԱՑՎԱԾ </w:t>
      </w:r>
      <w:r w:rsidR="00563CDB" w:rsidRPr="00FB7480">
        <w:rPr>
          <w:rFonts w:ascii="GHEA Grapalat" w:hAnsi="GHEA Grapalat" w:cs="Sylfaen"/>
          <w:szCs w:val="24"/>
          <w:lang w:val="hy-AM"/>
        </w:rPr>
        <w:t>ԴԻՏՈՂՈՒԹՅՈՒՆՆԵՐԻ և ԱՌԱՋԱՐԿՈՒԹՅՈՒՆՆԵՐԻ</w:t>
      </w:r>
    </w:p>
    <w:p w:rsidR="00563CDB" w:rsidRPr="00563CDB" w:rsidRDefault="00563CDB" w:rsidP="00563CDB">
      <w:pPr>
        <w:rPr>
          <w:rFonts w:ascii="Sylfaen" w:hAnsi="Sylfaen"/>
          <w:lang w:val="hy-AM"/>
        </w:rPr>
      </w:pPr>
      <w:bookmarkStart w:id="0" w:name="_GoBack"/>
      <w:bookmarkEnd w:id="0"/>
    </w:p>
    <w:p w:rsidR="00F11A1D" w:rsidRPr="00FB7480" w:rsidRDefault="00F11A1D" w:rsidP="00D4681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760" w:type="dxa"/>
        <w:tblInd w:w="-342" w:type="dxa"/>
        <w:tblLook w:val="04A0" w:firstRow="1" w:lastRow="0" w:firstColumn="1" w:lastColumn="0" w:noHBand="0" w:noVBand="1"/>
      </w:tblPr>
      <w:tblGrid>
        <w:gridCol w:w="447"/>
        <w:gridCol w:w="2521"/>
        <w:gridCol w:w="7088"/>
        <w:gridCol w:w="4704"/>
      </w:tblGrid>
      <w:tr w:rsidR="00F11A1D" w:rsidRPr="00A3053F" w:rsidTr="00A92157">
        <w:tc>
          <w:tcPr>
            <w:tcW w:w="450" w:type="dxa"/>
          </w:tcPr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F11A1D" w:rsidRPr="00FB7480" w:rsidRDefault="00F11A1D" w:rsidP="00D4681E">
            <w:pPr>
              <w:pStyle w:val="BodyText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հեղինակը¸ գրության ստացման ամսաթիվը և համարը</w:t>
            </w:r>
          </w:p>
          <w:p w:rsidR="00F11A1D" w:rsidRPr="00FB7480" w:rsidRDefault="00F11A1D" w:rsidP="00D4681E">
            <w:pPr>
              <w:pStyle w:val="BodyText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</w:tcPr>
          <w:p w:rsidR="00F11A1D" w:rsidRPr="00FB7480" w:rsidRDefault="00F11A1D" w:rsidP="00D4681E">
            <w:pPr>
              <w:tabs>
                <w:tab w:val="left" w:pos="270"/>
                <w:tab w:val="left" w:pos="851"/>
              </w:tabs>
              <w:ind w:firstLine="567"/>
              <w:contextualSpacing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770" w:type="dxa"/>
          </w:tcPr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>ՀՀ</w:t>
            </w:r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զ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արգացման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7480">
              <w:rPr>
                <w:rFonts w:ascii="GHEA Grapalat" w:hAnsi="GHEA Grapalat"/>
                <w:sz w:val="24"/>
                <w:szCs w:val="24"/>
              </w:rPr>
              <w:t>և</w:t>
            </w:r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ներդրումների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4223D" w:rsidRPr="00FB7480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="00B4223D"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4223D" w:rsidRPr="00FB7480">
              <w:rPr>
                <w:rFonts w:ascii="GHEA Grapalat" w:hAnsi="GHEA Grapalat"/>
                <w:sz w:val="24"/>
                <w:szCs w:val="24"/>
                <w:lang w:val="af-ZA"/>
              </w:rPr>
              <w:t>գույքի</w:t>
            </w:r>
            <w:proofErr w:type="spellEnd"/>
            <w:r w:rsidR="00B4223D"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4223D" w:rsidRPr="00FB7480">
              <w:rPr>
                <w:rFonts w:ascii="GHEA Grapalat" w:hAnsi="GHEA Grapalat"/>
                <w:sz w:val="24"/>
                <w:szCs w:val="24"/>
                <w:lang w:val="af-ZA"/>
              </w:rPr>
              <w:t>կոմիտեի</w:t>
            </w:r>
            <w:proofErr w:type="spellEnd"/>
            <w:r w:rsidR="00B4223D"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դիրքորոշումը</w:t>
            </w:r>
            <w:proofErr w:type="spellEnd"/>
          </w:p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11A1D" w:rsidRPr="00A3053F" w:rsidTr="00A92157">
        <w:tc>
          <w:tcPr>
            <w:tcW w:w="450" w:type="dxa"/>
          </w:tcPr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նախարարությ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FB7480">
              <w:rPr>
                <w:rFonts w:ascii="GHEA Grapalat" w:hAnsi="GHEA Grapalat"/>
                <w:sz w:val="24"/>
                <w:szCs w:val="24"/>
              </w:rPr>
              <w:t>ն</w:t>
            </w:r>
          </w:p>
          <w:p w:rsidR="00F11A1D" w:rsidRPr="00FB7480" w:rsidRDefault="00994D0A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>26</w:t>
            </w:r>
            <w:r w:rsidR="00F11A1D" w:rsidRPr="00FB7480">
              <w:rPr>
                <w:rFonts w:ascii="GHEA Grapalat" w:hAnsi="GHEA Grapalat"/>
                <w:sz w:val="24"/>
                <w:szCs w:val="24"/>
              </w:rPr>
              <w:t>.</w:t>
            </w:r>
            <w:r w:rsidRPr="00FB7480">
              <w:rPr>
                <w:rFonts w:ascii="GHEA Grapalat" w:hAnsi="GHEA Grapalat"/>
                <w:sz w:val="24"/>
                <w:szCs w:val="24"/>
              </w:rPr>
              <w:t>02</w:t>
            </w:r>
            <w:r w:rsidR="00F11A1D" w:rsidRPr="00FB7480">
              <w:rPr>
                <w:rFonts w:ascii="GHEA Grapalat" w:hAnsi="GHEA Grapalat"/>
                <w:sz w:val="24"/>
                <w:szCs w:val="24"/>
              </w:rPr>
              <w:t>.201</w:t>
            </w:r>
            <w:r w:rsidR="00B4223D" w:rsidRPr="00FB7480">
              <w:rPr>
                <w:rFonts w:ascii="GHEA Grapalat" w:hAnsi="GHEA Grapalat"/>
                <w:sz w:val="24"/>
                <w:szCs w:val="24"/>
              </w:rPr>
              <w:t>9</w:t>
            </w:r>
          </w:p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="00994D0A" w:rsidRPr="00FB7480">
              <w:rPr>
                <w:rFonts w:ascii="GHEA Grapalat" w:hAnsi="GHEA Grapalat"/>
                <w:sz w:val="24"/>
                <w:szCs w:val="24"/>
              </w:rPr>
              <w:t>01/8-3/2970-19</w:t>
            </w:r>
          </w:p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7200" w:type="dxa"/>
          </w:tcPr>
          <w:p w:rsidR="004A3D31" w:rsidRPr="00FB7480" w:rsidRDefault="004A3D31" w:rsidP="00D4681E">
            <w:pPr>
              <w:pStyle w:val="norm"/>
              <w:numPr>
                <w:ilvl w:val="0"/>
                <w:numId w:val="1"/>
              </w:numPr>
              <w:spacing w:line="240" w:lineRule="auto"/>
              <w:ind w:left="0" w:firstLine="567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1-ին կետի համաձայն նախատեսվում է 2019 թվականի ՀՀ կառավարության պահուստային ֆոնդի հաշվին ՀՀ տնտեսական զարգացման և ներդրումների նախարարությանը 2019 թվականի առաջին եռամսյակում հատկացնել 52,687.0 հազ. դրամ (բյուջետային ծախսերի տնտեսագիտական դասակարգման «Ընթացիկ դրամաշնորհներ պետական և համայնքային առևտրային կազմակերպություններին» հոդվածով)՝ </w:t>
            </w:r>
            <w:r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Ռադիոիզոտոպների արտադրության կենտրոն» փակ բաժնետիրական ընկերությանը (այսուհետ՝ ՓԲԸ): Միաժամանակ, Նախագծին կից հիմնա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մամբ նշվում է, որ ՀՀ կառավարության 2018 թվականի դեկտեմբերի 27-ի թիվ 1515-Ն որոշման 7-րդ հոդվածի 22-րդ մասի պահանջները կատարելու նպատակով անհրաժեշտ է ՓԲԸ-ին հատկացնել 8,781.2 հազ. դրամ՝ ԱԱՀ վճարելու համար, որը ներառվել է նաև Նախա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գծով ՓԲԸ-ին հատկացվող գումարի մեջ՝ 2018 թվականի դեկտեմբերի 31-ի 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դրությամբ առկա կրեդիտորական պարտավորությունները մարելու և 2019 թվականի</w:t>
            </w:r>
            <w:r w:rsidRPr="00FB748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 ծախսերը ֆինանսավորելու նպատակով:</w:t>
            </w:r>
          </w:p>
          <w:p w:rsidR="004A3D31" w:rsidRPr="00FB7480" w:rsidRDefault="004A3D31" w:rsidP="00D4681E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pStyle w:val="norm"/>
              <w:numPr>
                <w:ilvl w:val="0"/>
                <w:numId w:val="1"/>
              </w:numPr>
              <w:spacing w:line="240" w:lineRule="auto"/>
              <w:ind w:left="0" w:firstLine="56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3-րդ կետով ՀՀ տնտեսական զարգացման և ներդրումների նախարարության պետական գույքի կառավարման կոմիտեի նախագահին հանձնարարվում է 1-ին կետով հատկացված գումարը տրամադրել ՓԲԸ-ին՝ նվիրաբերության պայմանագրի հիման վրա։</w:t>
            </w:r>
          </w:p>
          <w:p w:rsidR="004A3D31" w:rsidRPr="00FB7480" w:rsidRDefault="004A3D31" w:rsidP="00D4681E">
            <w:pPr>
              <w:pStyle w:val="norm"/>
              <w:spacing w:line="240" w:lineRule="auto"/>
              <w:ind w:firstLine="56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Վերոգրյալի հետ կապված առաջարկում ենք</w:t>
            </w:r>
            <w:r w:rsidRPr="00FB7480">
              <w:rPr>
                <w:rFonts w:ascii="GHEA Grapalat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F11A1D" w:rsidRPr="00FB7480" w:rsidRDefault="00F11A1D" w:rsidP="00D4681E">
            <w:pPr>
              <w:tabs>
                <w:tab w:val="left" w:pos="270"/>
                <w:tab w:val="left" w:pos="851"/>
              </w:tabs>
              <w:ind w:firstLine="567"/>
              <w:contextualSpacing/>
              <w:jc w:val="both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B4223D" w:rsidRPr="00FB7480" w:rsidRDefault="00B4223D" w:rsidP="00D4681E">
            <w:pPr>
              <w:pStyle w:val="norm"/>
              <w:spacing w:line="240" w:lineRule="auto"/>
              <w:ind w:firstLine="56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 Նախագծի 3-րդ կետը խմբագրել հետևյալ կերպ</w:t>
            </w:r>
            <w:r w:rsidRPr="00FB7480">
              <w:rPr>
                <w:rFonts w:ascii="GHEA Grapalat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«Հայաստանի Հանրապետության տնտեսական զարգացման և ներդրումների նախարարի` սույն որոշման 1-ին կետով հատկացված գումարը տրամադրել ՓԲԸ-ին դրամաշնորհի պայմանագրի հիման վրա,</w:t>
            </w:r>
          </w:p>
          <w:p w:rsidR="00B4223D" w:rsidRPr="00FB7480" w:rsidRDefault="00B4223D" w:rsidP="00D4681E">
            <w:pPr>
              <w:pStyle w:val="norm"/>
              <w:spacing w:line="240" w:lineRule="auto"/>
              <w:ind w:firstLine="56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- Ի լրումն Նախագծին կցված տեղեկանք հիմնավորմանը՝ ներկայացնել ՓԲԸ-ին հատկացվելիք միջոցների մանրամասն հաշվարկ հիմնավորումները՝ հիմք ընդունելով ՓԲԸ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noBreakHyphen/>
              <w:t>ի 2018 թվականի ընթացքում կատարված փաստացի ծախսերը։</w:t>
            </w:r>
          </w:p>
          <w:p w:rsidR="00B4223D" w:rsidRPr="00FB7480" w:rsidRDefault="00B4223D" w:rsidP="00D4681E">
            <w:pPr>
              <w:pStyle w:val="norm"/>
              <w:spacing w:line="240" w:lineRule="auto"/>
              <w:ind w:firstLine="56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 Քննարկման առարկա դարձնել ՓԲԸ-ին հետագա գոյության պահպանման նպատակահարմարության հարցը՝ դիտարկելով վերջինիս գործառույթները ոլորտը կարգավորող համապատասխան մարմնին վերապահելու կամ ՓԲԸ-ն մասնավորեցնելու հարցը։</w:t>
            </w:r>
          </w:p>
          <w:p w:rsidR="00FF2A41" w:rsidRPr="00FB7480" w:rsidRDefault="00FF2A41" w:rsidP="00D4681E">
            <w:pPr>
              <w:pStyle w:val="norm"/>
              <w:spacing w:line="240" w:lineRule="auto"/>
              <w:ind w:firstLine="567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F2A41" w:rsidRPr="00FB7480" w:rsidRDefault="00FF2A41" w:rsidP="00D4681E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Ինչ վերաբերում է Նախագծին կից հիմնավորմամբ ներկայացված ԱԱՀ-ի գծով գումարներ հատկացնելուն՝ հայտնում ենք, որ հիմնավորումները հասկանալի չեն: Մասնավորապես, եթե ԱԱՀ-ի գումարներն ՓԲԸ-ին պետք է 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հատկացվեն՝ հաշվի առնելով այն հանգամանքը, որ ՓԲԸ-ն ստանձնել է ԱԱՀ-ով հարկվող գոր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ծարք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 իրականացնելու պարտավորություն, և պետությունը, ըստ էության, փոխհատուցում է այդ գոր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ծարք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ներից առաջացող ԱԱՀ-ի գծով հարկային պարտա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թյունները, ապա անհրաժեշտ է ներկայացնել հիմնավորումներ առ այն, որ ՓԲԸ-ի մոտ առա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ջացել են նշյալ հարկային պարտավորությունները:</w:t>
            </w:r>
          </w:p>
          <w:p w:rsidR="00FF2A41" w:rsidRPr="00FB7480" w:rsidRDefault="00FF2A41" w:rsidP="00D4681E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Մյուս կողմից, եթե ԱԱՀ-ի գծով գումարներ հատկացնելու անհրաժեշտությունը պայ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նավոր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ված է ՓԲԸ-ի մոտ առաջացած կրեդիտորական պարտավորությունների կազմում ներառ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ված ԱԱՀ-ի գումարների փոխհատուցմամբ, ապա այդ կապակցությամբ հայտնում ենք, որ ԱԱՀ-ի մասով առան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ձին գումար մատնանշելն անհասկանալի է, քանի որ ԱԱՀ-ի գումար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ները, ըստ էության, ներառված են ՓԲԸ-ի պարտավորությունների կազմում: </w:t>
            </w:r>
          </w:p>
          <w:p w:rsidR="00FF2A41" w:rsidRPr="00FB7480" w:rsidRDefault="00FF2A41" w:rsidP="00D4681E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Բացի այդ, անհասկանալի է գույքահարկի, հողի հարկի և պետական տուրքի գծով պար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վորությունները մարելու նպատակով ՓԲԸ-ին հատկացվող գումարներում ԱԱՀ ներա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ռելու տրամաբանությունը՝ հաշվի առնելով այն հանգա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մանքը, որ նշյալ գումարների մասով ԱԱՀ հաշ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վարկելու պարտավորություն չի առաջանում:</w:t>
            </w:r>
          </w:p>
          <w:p w:rsidR="00FF2A41" w:rsidRPr="00FB7480" w:rsidRDefault="00FF2A41" w:rsidP="00D4681E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Միաժամանակ, պարզ չէ՝ արդյո՞ք ՓԲԸ-ի կողմից ստացվող ծառայությունների արժեք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ները ներառում են ԱԱՀ, թե ոչ: Հետևաբար, այդ կապակ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ցությամբ հայտնում ենք, որ եթե ՓԲԸ-ի կողմից ստացվող՝ նախա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գծի հիմնա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վոր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մամբ նշված ծառայությունների ձեռք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բերման արժեքի մեջ արդեն իսկ ներառված է ԱԱՀ-ի գումարը, ապա այդ ծառա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յու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մասով մեկ անգամ ևս ԱԱՀ-ի գծով գումարներ նախա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տեսելն անհասկանալի է:</w:t>
            </w:r>
          </w:p>
          <w:p w:rsidR="00FF2A41" w:rsidRPr="00FB7480" w:rsidRDefault="00FF2A41" w:rsidP="00D4681E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 առնելով վերոգրյալը՝ հայտնում ենք, որ նախագծով ՓԲԸ-ին հատկացվող               8,781.2 հազ. դրամ ԱԱՀ-ի գումարի չափը լրացուցիչ հիմնավորման կարիք ունի:</w:t>
            </w:r>
          </w:p>
          <w:p w:rsidR="00F11A1D" w:rsidRPr="00FB7480" w:rsidRDefault="00F11A1D" w:rsidP="00D468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</w:tcPr>
          <w:p w:rsidR="00F11A1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Հղումը ճշտվել է </w:t>
            </w: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3D31" w:rsidRPr="00FB7480" w:rsidRDefault="004A3D31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1A1D" w:rsidRPr="00FB7480" w:rsidRDefault="00F11A1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B4223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Փոփոխությունը կատարվել է Նախագծի 1-ին կետում, քանի որ  Պ</w:t>
            </w:r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>ետական գույքի կոմիտեն հանդիսանում կարգադրիչ</w:t>
            </w:r>
          </w:p>
          <w:p w:rsidR="00B4223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7480">
              <w:rPr>
                <w:rFonts w:ascii="GHEA Grapalat" w:hAnsi="GHEA Grapalat"/>
                <w:sz w:val="24"/>
                <w:szCs w:val="24"/>
              </w:rPr>
              <w:t>է</w:t>
            </w:r>
          </w:p>
          <w:p w:rsidR="00B4223D" w:rsidRPr="00FB7480" w:rsidRDefault="00B4223D" w:rsidP="00D4681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Հիմնավորմումը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լրամշակվել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F2A41" w:rsidRPr="00FB7480">
              <w:rPr>
                <w:rFonts w:ascii="GHEA Grapalat" w:hAnsi="GHEA Grapalat"/>
                <w:sz w:val="24"/>
                <w:szCs w:val="24"/>
              </w:rPr>
              <w:t>է</w:t>
            </w:r>
          </w:p>
          <w:p w:rsidR="00B4223D" w:rsidRPr="00FB7480" w:rsidRDefault="00B4223D" w:rsidP="00D4681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4223D" w:rsidRPr="00FB7480" w:rsidRDefault="00B4223D" w:rsidP="00D4681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Ընկերությունը ընդգրկված է 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է «Պետական գույքի մասնավորեցման 2017-2020 թվականների ծրագրում»</w:t>
            </w: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F2A41" w:rsidRPr="00FB7480" w:rsidRDefault="00FF2A41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F2A41" w:rsidRPr="00FB7480" w:rsidRDefault="00FB1026" w:rsidP="00D4681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748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FB1026" w:rsidRPr="00FB7480" w:rsidRDefault="00F12568" w:rsidP="00D4681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Ընկերությունը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համարվում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748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7480">
              <w:rPr>
                <w:rFonts w:ascii="GHEA Grapalat" w:hAnsi="GHEA Grapalat" w:cs="Sylfaen"/>
                <w:sz w:val="24"/>
                <w:szCs w:val="24"/>
              </w:rPr>
              <w:t>ԱԱՀ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վճարող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հարկի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հատկացումը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748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հիմք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ընդունելով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Հարկային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4-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48)-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7480">
              <w:rPr>
                <w:rFonts w:ascii="GHEA Grapalat" w:hAnsi="GHEA Grapalat" w:cs="Sylfaen"/>
                <w:sz w:val="24"/>
                <w:szCs w:val="24"/>
              </w:rPr>
              <w:t>կետը</w:t>
            </w:r>
            <w:proofErr w:type="spellEnd"/>
            <w:r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>61-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մասը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ընկերության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կնքվող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դրամաշնորհի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պայմանագրում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ընկերության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պարտավորություն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կսահմանվի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,,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2019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,,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7-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22-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պահանջը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 w:cs="Sylfaen"/>
                <w:sz w:val="24"/>
                <w:szCs w:val="24"/>
              </w:rPr>
              <w:t>որի</w:t>
            </w:r>
            <w:proofErr w:type="spellEnd"/>
            <w:r w:rsidR="00387DFF" w:rsidRPr="00FB74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22)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2019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թվականի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բյուջեից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տրամադրվող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դրամաշնորհների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սուբսիդիաների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նկատմամբ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հաշվարկված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ավելացված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արժեքի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հարկի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գծով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լրացուցիչ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հատկացումները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չեն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կարող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ուղղվել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այլ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նպատակների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Եթե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սույն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կետում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նշված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հոդվածներով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նախատեսված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ծրագրերը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միջոցառումները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ենթակա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չեն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ավելացված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արժեքի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հարկով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հարկման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կամ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ենթակա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են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հարկման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բյուջեից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ավելացված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հարկի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վճարման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տրամադրվող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գումարի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դիմաց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ավելի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փոքր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գումարի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ապա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նշված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հարկի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վճարման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նախատեսված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հատկացումների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գծով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չօգտագործված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գումարները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2019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թվականի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ընթացքում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ենթակա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են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վերադարձման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</w:rPr>
              <w:t>բյուջե</w:t>
            </w:r>
            <w:proofErr w:type="spellEnd"/>
            <w:r w:rsidR="00387DFF" w:rsidRPr="00FB748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  <w:r w:rsidR="00387DFF" w:rsidRPr="00FB748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</w:p>
        </w:tc>
      </w:tr>
      <w:tr w:rsidR="00A3053F" w:rsidRPr="00A3053F" w:rsidTr="00A92157">
        <w:tc>
          <w:tcPr>
            <w:tcW w:w="450" w:type="dxa"/>
          </w:tcPr>
          <w:p w:rsidR="00A3053F" w:rsidRPr="00A3053F" w:rsidRDefault="00A3053F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</w:t>
            </w:r>
          </w:p>
        </w:tc>
        <w:tc>
          <w:tcPr>
            <w:tcW w:w="2340" w:type="dxa"/>
          </w:tcPr>
          <w:p w:rsidR="00A3053F" w:rsidRPr="00FB7480" w:rsidRDefault="00A3053F" w:rsidP="00A305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 w:rsidRPr="00FB7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7480">
              <w:rPr>
                <w:rFonts w:ascii="GHEA Grapalat" w:hAnsi="GHEA Grapalat"/>
                <w:sz w:val="24"/>
                <w:szCs w:val="24"/>
              </w:rPr>
              <w:t>նախարարությ</w:t>
            </w:r>
            <w:proofErr w:type="spellEnd"/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FB7480">
              <w:rPr>
                <w:rFonts w:ascii="GHEA Grapalat" w:hAnsi="GHEA Grapalat"/>
                <w:sz w:val="24"/>
                <w:szCs w:val="24"/>
              </w:rPr>
              <w:t>ն</w:t>
            </w:r>
          </w:p>
          <w:p w:rsidR="00A3053F" w:rsidRPr="00FB7480" w:rsidRDefault="00A3053F" w:rsidP="00A305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FB7480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B7480">
              <w:rPr>
                <w:rFonts w:ascii="GHEA Grapalat" w:hAnsi="GHEA Grapalat"/>
                <w:sz w:val="24"/>
                <w:szCs w:val="24"/>
              </w:rPr>
              <w:t>.2019</w:t>
            </w:r>
          </w:p>
          <w:p w:rsidR="00A3053F" w:rsidRPr="00FB7480" w:rsidRDefault="00A3053F" w:rsidP="00A305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480">
              <w:rPr>
                <w:rFonts w:ascii="GHEA Grapalat" w:hAnsi="GHEA Grapalat"/>
                <w:sz w:val="24"/>
                <w:szCs w:val="24"/>
              </w:rPr>
              <w:t>N 01/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FB7480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5181</w:t>
            </w:r>
            <w:r w:rsidRPr="00FB7480">
              <w:rPr>
                <w:rFonts w:ascii="GHEA Grapalat" w:hAnsi="GHEA Grapalat"/>
                <w:sz w:val="24"/>
                <w:szCs w:val="24"/>
              </w:rPr>
              <w:t>-19</w:t>
            </w:r>
          </w:p>
          <w:p w:rsidR="00A3053F" w:rsidRPr="00A3053F" w:rsidRDefault="00A3053F" w:rsidP="00A3053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B7480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7200" w:type="dxa"/>
          </w:tcPr>
          <w:p w:rsidR="00A3053F" w:rsidRPr="00FB7480" w:rsidRDefault="004E7B8C" w:rsidP="00A3053F">
            <w:pPr>
              <w:pStyle w:val="norm"/>
              <w:spacing w:line="240" w:lineRule="auto"/>
              <w:ind w:left="567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0F7F82">
              <w:rPr>
                <w:rFonts w:ascii="GHEA Grapalat" w:hAnsi="GHEA Grapalat"/>
              </w:rPr>
              <w:t>Դիտողություններ</w:t>
            </w:r>
            <w:proofErr w:type="spellEnd"/>
            <w:r w:rsidRPr="001C3F28">
              <w:rPr>
                <w:rFonts w:ascii="GHEA Grapalat" w:hAnsi="GHEA Grapalat"/>
              </w:rPr>
              <w:t xml:space="preserve"> </w:t>
            </w:r>
            <w:r w:rsidRPr="000F7F82">
              <w:rPr>
                <w:rFonts w:ascii="GHEA Grapalat" w:hAnsi="GHEA Grapalat"/>
              </w:rPr>
              <w:t>և</w:t>
            </w:r>
            <w:r w:rsidRPr="001C3F28">
              <w:rPr>
                <w:rFonts w:ascii="GHEA Grapalat" w:hAnsi="GHEA Grapalat"/>
              </w:rPr>
              <w:t xml:space="preserve"> </w:t>
            </w:r>
            <w:proofErr w:type="spellStart"/>
            <w:r w:rsidRPr="000F7F82">
              <w:rPr>
                <w:rFonts w:ascii="GHEA Grapalat" w:hAnsi="GHEA Grapalat"/>
              </w:rPr>
              <w:t>առաջարկություններ</w:t>
            </w:r>
            <w:proofErr w:type="spellEnd"/>
            <w:r w:rsidRPr="001C3F28">
              <w:rPr>
                <w:rFonts w:ascii="GHEA Grapalat" w:hAnsi="GHEA Grapalat"/>
              </w:rPr>
              <w:t xml:space="preserve"> </w:t>
            </w:r>
            <w:proofErr w:type="spellStart"/>
            <w:r w:rsidRPr="000F7F82">
              <w:rPr>
                <w:rFonts w:ascii="GHEA Grapalat" w:hAnsi="GHEA Grapalat"/>
              </w:rPr>
              <w:t>չկան</w:t>
            </w:r>
            <w:proofErr w:type="spellEnd"/>
            <w:r w:rsidRPr="000F7F82">
              <w:rPr>
                <w:rFonts w:ascii="GHEA Grapalat" w:hAnsi="GHEA Grapalat"/>
              </w:rPr>
              <w:t>:</w:t>
            </w:r>
          </w:p>
        </w:tc>
        <w:tc>
          <w:tcPr>
            <w:tcW w:w="4770" w:type="dxa"/>
          </w:tcPr>
          <w:p w:rsidR="00A3053F" w:rsidRPr="00FB7480" w:rsidRDefault="00A3053F" w:rsidP="00D468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C7D47" w:rsidRPr="00FB7480" w:rsidRDefault="00BC7D47" w:rsidP="00D4681E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sectPr w:rsidR="00BC7D47" w:rsidRPr="00FB7480" w:rsidSect="006C6A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A57"/>
    <w:multiLevelType w:val="hybridMultilevel"/>
    <w:tmpl w:val="F804454C"/>
    <w:lvl w:ilvl="0" w:tplc="0DACCBB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15DD"/>
    <w:rsid w:val="000F15DD"/>
    <w:rsid w:val="00263B00"/>
    <w:rsid w:val="00387DFF"/>
    <w:rsid w:val="0049713A"/>
    <w:rsid w:val="004A3D31"/>
    <w:rsid w:val="004E7B8C"/>
    <w:rsid w:val="00563CDB"/>
    <w:rsid w:val="006C6A05"/>
    <w:rsid w:val="008407FF"/>
    <w:rsid w:val="008A6D05"/>
    <w:rsid w:val="00994D0A"/>
    <w:rsid w:val="009A2F0D"/>
    <w:rsid w:val="00A3053F"/>
    <w:rsid w:val="00B4223D"/>
    <w:rsid w:val="00B564F8"/>
    <w:rsid w:val="00BC7D47"/>
    <w:rsid w:val="00BD1FA1"/>
    <w:rsid w:val="00D4681E"/>
    <w:rsid w:val="00D60D7E"/>
    <w:rsid w:val="00F11A1D"/>
    <w:rsid w:val="00F12568"/>
    <w:rsid w:val="00FB1026"/>
    <w:rsid w:val="00FB7480"/>
    <w:rsid w:val="00FC6E2C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8783"/>
  <w15:docId w15:val="{9529FC46-488E-4243-8C14-D0F7327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A1D"/>
  </w:style>
  <w:style w:type="paragraph" w:styleId="Heading4">
    <w:name w:val="heading 4"/>
    <w:basedOn w:val="Normal"/>
    <w:next w:val="Normal"/>
    <w:link w:val="Heading4Char"/>
    <w:unhideWhenUsed/>
    <w:qFormat/>
    <w:rsid w:val="004A3D31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3"/>
    </w:pPr>
    <w:rPr>
      <w:rFonts w:ascii="Arial Armenian" w:eastAsia="Times New Roman" w:hAnsi="Arial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A1D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F11A1D"/>
    <w:pPr>
      <w:overflowPunct w:val="0"/>
      <w:autoSpaceDE w:val="0"/>
      <w:autoSpaceDN w:val="0"/>
      <w:adjustRightInd w:val="0"/>
      <w:spacing w:after="0" w:line="240" w:lineRule="auto"/>
      <w:ind w:firstLine="600"/>
      <w:textAlignment w:val="baseline"/>
    </w:pPr>
    <w:rPr>
      <w:rFonts w:ascii="Arial Armenian" w:eastAsia="Times New Roman" w:hAnsi="Arial Armeni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11A1D"/>
    <w:rPr>
      <w:rFonts w:ascii="Arial Armenian" w:eastAsia="Times New Roman" w:hAnsi="Arial Armenian" w:cs="Times New Roman"/>
      <w:sz w:val="20"/>
      <w:szCs w:val="2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rsid w:val="00F11A1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F11A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rmChar">
    <w:name w:val="norm Char"/>
    <w:link w:val="norm"/>
    <w:locked/>
    <w:rsid w:val="00B4223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223D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Heading4Char">
    <w:name w:val="Heading 4 Char"/>
    <w:basedOn w:val="DefaultParagraphFont"/>
    <w:link w:val="Heading4"/>
    <w:rsid w:val="004A3D31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3FA0-E662-4682-93E7-B1FB2079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2</cp:revision>
  <cp:lastPrinted>2019-03-26T13:30:00Z</cp:lastPrinted>
  <dcterms:created xsi:type="dcterms:W3CDTF">2019-03-26T13:29:00Z</dcterms:created>
  <dcterms:modified xsi:type="dcterms:W3CDTF">2019-03-26T13:30:00Z</dcterms:modified>
</cp:coreProperties>
</file>