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C9" w:rsidRDefault="00B67DEE">
      <w:pPr>
        <w:pStyle w:val="headingtitleStyle"/>
      </w:pPr>
      <w:bookmarkStart w:id="0" w:name="_Toc1"/>
      <w:r>
        <w:t>Ամփոփաթերթ</w:t>
      </w:r>
      <w:bookmarkEnd w:id="0"/>
    </w:p>
    <w:p w:rsidR="000630C9" w:rsidRDefault="00B67DEE">
      <w:pPr>
        <w:pStyle w:val="headingtitleStyle"/>
      </w:pPr>
      <w:bookmarkStart w:id="1" w:name="_Toc2"/>
      <w:r>
        <w:t>«</w:t>
      </w:r>
      <w:r>
        <w:t>Հայաստանի</w:t>
      </w:r>
      <w:r>
        <w:t xml:space="preserve"> </w:t>
      </w:r>
      <w:r>
        <w:t>գործարար</w:t>
      </w:r>
      <w:r>
        <w:t xml:space="preserve"> </w:t>
      </w:r>
      <w:r>
        <w:t>միջավայրի</w:t>
      </w:r>
      <w:r>
        <w:t xml:space="preserve"> </w:t>
      </w:r>
      <w:r>
        <w:t>բարելավման</w:t>
      </w:r>
      <w:r>
        <w:t xml:space="preserve"> 2019 </w:t>
      </w:r>
      <w:r>
        <w:t>թվականի</w:t>
      </w:r>
      <w:r>
        <w:t xml:space="preserve"> </w:t>
      </w:r>
      <w:r>
        <w:t>միջոցառումների</w:t>
      </w:r>
      <w:r>
        <w:t xml:space="preserve"> </w:t>
      </w:r>
      <w:r>
        <w:t>ծրագրին</w:t>
      </w:r>
      <w:r>
        <w:t xml:space="preserve"> </w:t>
      </w:r>
      <w:r>
        <w:t>հավանություն</w:t>
      </w:r>
      <w:r>
        <w:t xml:space="preserve"> </w:t>
      </w:r>
      <w:r>
        <w:t>տալու</w:t>
      </w:r>
      <w:r>
        <w:t xml:space="preserve"> </w:t>
      </w:r>
      <w:r>
        <w:t>մասին</w:t>
      </w:r>
      <w:r>
        <w:t xml:space="preserve">» </w:t>
      </w:r>
      <w:r>
        <w:t>ՀՀ</w:t>
      </w:r>
      <w:r>
        <w:t xml:space="preserve"> </w:t>
      </w:r>
      <w:r>
        <w:t>կառավարության</w:t>
      </w:r>
      <w:r>
        <w:t xml:space="preserve"> </w:t>
      </w:r>
      <w:r>
        <w:t>որոշման</w:t>
      </w:r>
      <w:r>
        <w:t xml:space="preserve"> </w:t>
      </w:r>
      <w:r>
        <w:t>նախագիծ</w:t>
      </w:r>
      <w:r>
        <w:t xml:space="preserve"> </w:t>
      </w:r>
      <w:r>
        <w:t>նախագծի</w:t>
      </w:r>
      <w:r>
        <w:t xml:space="preserve"> </w:t>
      </w:r>
      <w:r>
        <w:t>վերաբերյալ</w:t>
      </w:r>
      <w:bookmarkEnd w:id="1"/>
    </w:p>
    <w:p w:rsidR="000630C9" w:rsidRDefault="000630C9"/>
    <w:p w:rsidR="000630C9" w:rsidRDefault="000630C9"/>
    <w:p w:rsidR="000630C9" w:rsidRDefault="000630C9"/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2214"/>
        <w:gridCol w:w="4843"/>
        <w:gridCol w:w="3502"/>
        <w:gridCol w:w="2900"/>
      </w:tblGrid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30C9" w:rsidRDefault="000630C9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09.03.2019 20:33:12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վճռական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քայլերի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սկիզբ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հայտարարի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բարեփոխումների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2019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թվականին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նախաձեռնի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մշակումը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գիտություն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գիտություն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09.03.2019 20:30:04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ամորտիզացիոն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մասհանումների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նվազագույն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ներդրումների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հետգնման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իրացվելության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աստիճանը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մինչդեռ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կյանքի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տևողությունը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առումով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ամորտիզացիոն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մասհանումների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դասակարգման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բաշխվածության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նվազեցման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հիմնովին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վերանայել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ամորտիզացիոն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մասհանումների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նվազագույն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վերանայման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գիտություն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Մշակվել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հանրությանն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ակտի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նախագիծը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վերոգրյալ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09.03.2019 19:48:16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չկարգավորված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անհստակությունների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տարընկալումներ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տեղիք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նորմերի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առկայությունը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միջավայրի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ազդեցություն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առումով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միջավայրի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բարելավվման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կարևորում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գույքագրումը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ազդեցության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տեսանկյունից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միջավայրին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խոչընդոտող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միջավայրի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բարելավման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2019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ծրագիրը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մշակվում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միջավայրին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հարաբ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երություններին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առընչվող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ուստի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առանձին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03.03.2019 18:34:30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ենթակետով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Եռամսյակային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պարբերականու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Կիսամյակի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գոյացած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մնացորդի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եռամսյակի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գոյացած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մնացորդի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»: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եռամսյակին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հաջորդող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ամսվա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փոխհատուցվող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փոխհատուցվող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03.03.2019 16:25:40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4-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ենթակետով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տարվա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ուսումնասիրության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փոխանցումը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փոխանցման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համապատասխանեցնել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հակառակ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վանդակությամբ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փոխհատուցվող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փոխհատուցվող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շարունակական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03.03.2019 16:24:54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ենթակետով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Նախկինում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եղել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4-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ենթակետով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,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տարվա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դեբետային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ուսումնասիրության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փոխանցումը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գանձապետական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փոխանցման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ունենալու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ամապատասխանեցնել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հակառակ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                  2.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Ներկայումս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որոշվելու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եղանակները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փուլում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կքննարկվեն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հստակեցվել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փոխհատուցվող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փոխհատուցվող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մուտքագրման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շարունակական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03.03.2019 16:08:44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ենթակետով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խմբագրել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Նախկինում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եղել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հաշվարկի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կլամ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վճարողի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րացնելն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Ներկայումս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միջոցառումը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կրճատում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հետագայում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որոշվելու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եղանակները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փուլում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կքննարկվեն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Պողոսյան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03.03.2019 09:10:03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կապահովի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ներդրումների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հավաքագրվող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տեղեկատվության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մշակման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արդյունավետությունը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միասնական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հաշվետվության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տեխնի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խոչնդոտների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բացառումը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վերոգրյալը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ներդրումների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տեղեկատվություն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առնելո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փոխարինել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հավելված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տեղեկատվությունը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փոխանակվում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մարմինների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Տեղեկատվության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ձևը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սահմանափակ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տեղեկությունները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ամբողջական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</w:tr>
      <w:tr w:rsidR="000630C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կենտրոն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  <w:p w:rsidR="000630C9" w:rsidRDefault="00B67DEE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02.03.2019 21:44:10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Ընդհանուր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առմամբ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բաժնում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բաժնում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նախաձեռնության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2020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թվականից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շահութահարկի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դրույքաչափի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նվազեցում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օտարերկրյա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ֆիզիկական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շահաբաժինների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դրույքաչափի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նվազեցում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2023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թվականը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եկամտային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դրույքաչափերի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աստիճանական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նվազեցում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հիմովին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Հետեւապես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քվեարկում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դրությը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քվեարկել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հիմվորումները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ԱԺ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ՖՆ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խորհուր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նաեւ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2019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փետրվարի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5-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իրավքունքների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կոալիցիայի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հրավիրված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ԱԺ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4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հանձնաժողովների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աշխատակազմի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ՖՆ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տնտսեսական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նախարարույթնա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ներկայացուցիչները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չներկայացան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քննարկմնա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մաիսն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հայտարարությունը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տարածվել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ԶԼՄ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ծանոթանալու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ցանկության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ձեզ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Մովսես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Արիսատակեսյան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կենտրոն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"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գիտություն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0C9" w:rsidRDefault="00B67DEE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կքննարկվի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հարկային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։</w:t>
            </w:r>
          </w:p>
        </w:tc>
      </w:tr>
    </w:tbl>
    <w:p w:rsidR="00B67DEE" w:rsidRDefault="00B67DEE"/>
    <w:sectPr w:rsidR="00B67DEE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0C9"/>
    <w:rsid w:val="000630C9"/>
    <w:rsid w:val="00B67DEE"/>
    <w:rsid w:val="00D8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2019-04-01T12:19:00Z</dcterms:created>
  <dcterms:modified xsi:type="dcterms:W3CDTF">2019-04-01T12:19:00Z</dcterms:modified>
  <cp:category/>
</cp:coreProperties>
</file>