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BC" w:rsidRDefault="00752EBC" w:rsidP="00EE3691">
      <w:pPr>
        <w:jc w:val="center"/>
        <w:rPr>
          <w:rFonts w:ascii="GHEA Grapalat" w:eastAsia="Calibri" w:hAnsi="GHEA Grapalat" w:cs="Sylfaen"/>
          <w:b/>
          <w:lang w:val="hy-AM"/>
        </w:rPr>
      </w:pPr>
      <w:r w:rsidRPr="00064CA9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2915CF" w:rsidRPr="00064CA9" w:rsidRDefault="002915CF" w:rsidP="00EE3691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752EBC" w:rsidRPr="00064CA9" w:rsidRDefault="00EE3691" w:rsidP="00EE3691">
      <w:pPr>
        <w:ind w:firstLine="720"/>
        <w:jc w:val="center"/>
        <w:rPr>
          <w:rFonts w:ascii="GHEA Grapalat" w:eastAsia="Calibri" w:hAnsi="GHEA Grapalat" w:cs="Sylfaen"/>
          <w:b/>
          <w:lang w:val="hy-AM"/>
        </w:rPr>
      </w:pPr>
      <w:r w:rsidRPr="00064CA9">
        <w:rPr>
          <w:rFonts w:ascii="GHEA Grapalat" w:hAnsi="GHEA Grapalat" w:cs="Sylfaen"/>
          <w:b/>
          <w:lang w:val="hy-AM"/>
        </w:rPr>
        <w:t>«</w:t>
      </w:r>
      <w:r w:rsidR="002915CF" w:rsidRPr="007F170B">
        <w:rPr>
          <w:rFonts w:ascii="GHEA Grapalat" w:hAnsi="GHEA Grapalat"/>
          <w:b/>
          <w:lang w:val="hy-AM"/>
        </w:rPr>
        <w:t>ՀԱՅԱՍՏԱՆԻ</w:t>
      </w:r>
      <w:r w:rsidR="002915CF" w:rsidRPr="00EC5187">
        <w:rPr>
          <w:rFonts w:ascii="GHEA Grapalat" w:hAnsi="GHEA Grapalat"/>
          <w:b/>
          <w:lang w:val="hy-AM"/>
        </w:rPr>
        <w:t xml:space="preserve"> </w:t>
      </w:r>
      <w:r w:rsidR="002915CF" w:rsidRPr="007F170B">
        <w:rPr>
          <w:rFonts w:ascii="GHEA Grapalat" w:hAnsi="GHEA Grapalat" w:cs="Sylfaen"/>
          <w:b/>
          <w:lang w:val="hy-AM"/>
        </w:rPr>
        <w:t>ՀԱՆՐԱՊԵՏՈՒԹՅԱՆ</w:t>
      </w:r>
      <w:r w:rsidR="002915CF" w:rsidRPr="00EC5187">
        <w:rPr>
          <w:rFonts w:ascii="GHEA Grapalat" w:hAnsi="GHEA Grapalat" w:cs="Sylfaen"/>
          <w:b/>
          <w:lang w:val="hy-AM"/>
        </w:rPr>
        <w:t xml:space="preserve"> </w:t>
      </w:r>
      <w:r w:rsidR="002915CF" w:rsidRPr="007F170B">
        <w:rPr>
          <w:rFonts w:ascii="GHEA Grapalat" w:hAnsi="GHEA Grapalat"/>
          <w:b/>
          <w:lang w:val="hy-AM"/>
        </w:rPr>
        <w:t xml:space="preserve">2019 ԹՎԱԿԱՆԻ ՊԵՏԱԿԱՆ ԲՅՈՒՋԵՈԻՄ </w:t>
      </w:r>
      <w:r w:rsidR="002915CF" w:rsidRPr="007F170B">
        <w:rPr>
          <w:rFonts w:ascii="GHEA Grapalat" w:hAnsi="GHEA Grapalat"/>
          <w:b/>
          <w:lang w:val="af-ZA"/>
        </w:rPr>
        <w:t>ՎԵՐԱ</w:t>
      </w:r>
      <w:r w:rsidR="002915CF" w:rsidRPr="007F170B">
        <w:rPr>
          <w:rFonts w:ascii="GHEA Grapalat" w:hAnsi="GHEA Grapalat"/>
          <w:b/>
          <w:lang w:val="hy-AM"/>
        </w:rPr>
        <w:t>Բ</w:t>
      </w:r>
      <w:r w:rsidR="002915CF" w:rsidRPr="007F170B">
        <w:rPr>
          <w:rFonts w:ascii="GHEA Grapalat" w:hAnsi="GHEA Grapalat"/>
          <w:b/>
          <w:lang w:val="af-ZA"/>
        </w:rPr>
        <w:t>ԱՇԽՈՒՄ</w:t>
      </w:r>
      <w:r w:rsidR="002915CF">
        <w:rPr>
          <w:rFonts w:ascii="GHEA Grapalat" w:hAnsi="GHEA Grapalat"/>
          <w:b/>
          <w:lang w:val="hy-AM"/>
        </w:rPr>
        <w:t xml:space="preserve"> ԵՎ</w:t>
      </w:r>
      <w:r w:rsidR="002915CF" w:rsidRPr="007F170B">
        <w:rPr>
          <w:rFonts w:ascii="GHEA Grapalat" w:hAnsi="GHEA Grapalat"/>
          <w:b/>
          <w:lang w:val="hy-AM"/>
        </w:rPr>
        <w:t xml:space="preserve"> </w:t>
      </w:r>
      <w:r w:rsidR="002915CF" w:rsidRPr="007F170B">
        <w:rPr>
          <w:rFonts w:ascii="GHEA Grapalat" w:hAnsi="GHEA Grapalat" w:cs="Sylfaen"/>
          <w:b/>
          <w:lang w:val="hy-AM"/>
        </w:rPr>
        <w:t>ՀԱՅԱՍՏԱՆԻ</w:t>
      </w:r>
      <w:r w:rsidR="002915CF" w:rsidRPr="00EC5187">
        <w:rPr>
          <w:rFonts w:ascii="GHEA Grapalat" w:hAnsi="GHEA Grapalat" w:cs="Sylfaen"/>
          <w:b/>
          <w:lang w:val="hy-AM"/>
        </w:rPr>
        <w:t xml:space="preserve"> </w:t>
      </w:r>
      <w:r w:rsidR="002915CF" w:rsidRPr="007F170B">
        <w:rPr>
          <w:rFonts w:ascii="GHEA Grapalat" w:hAnsi="GHEA Grapalat"/>
          <w:b/>
          <w:lang w:val="hy-AM"/>
        </w:rPr>
        <w:t xml:space="preserve">ՀԱՆՐԱՊԵՏՈՒԹՅԱՆ ԿԱՌԱՎԱՐՈՒԹՅԱՆ 2018 ԹՎԱԿԱՆԻ ԴԵԿՏԵՄԲԵՐԻ 27-Ի N 1515- Ն ՈՐՈՇՄԱՆ ՄԵՋ </w:t>
      </w:r>
      <w:r w:rsidR="002915CF" w:rsidRPr="007F170B">
        <w:rPr>
          <w:rFonts w:ascii="GHEA Grapalat" w:hAnsi="GHEA Grapalat"/>
          <w:b/>
          <w:lang w:val="af-ZA"/>
        </w:rPr>
        <w:t xml:space="preserve">ՓՈՓՈԽՈՒԹՅՈՒՆՆԵՐ ԵՎ </w:t>
      </w:r>
      <w:r w:rsidR="002915CF" w:rsidRPr="007F170B">
        <w:rPr>
          <w:rFonts w:ascii="GHEA Grapalat" w:hAnsi="GHEA Grapalat"/>
          <w:b/>
          <w:lang w:val="hy-AM"/>
        </w:rPr>
        <w:t>ԼՐԱՑՈՒՄՆԵՐ ԿԱՏԱՐԵԼՈՒ</w:t>
      </w:r>
      <w:r w:rsidR="002915CF" w:rsidRPr="000A34A4">
        <w:rPr>
          <w:rFonts w:ascii="GHEA Grapalat" w:hAnsi="GHEA Grapalat" w:cs="Sylfaen"/>
          <w:b/>
          <w:lang w:val="hy-AM"/>
        </w:rPr>
        <w:t xml:space="preserve"> ՄԱՍԻՆ</w:t>
      </w:r>
      <w:r w:rsidRPr="00064CA9">
        <w:rPr>
          <w:rFonts w:ascii="GHEA Grapalat" w:eastAsia="Calibri" w:hAnsi="GHEA Grapalat" w:cs="Sylfaen"/>
          <w:b/>
          <w:lang w:val="hy-AM"/>
        </w:rPr>
        <w:t xml:space="preserve">» ՀԱՅԱՍՏԱՆԻ ՀԱՆՐԱՊԵՏՈՒԹՅԱՆ ԿԱՌԱՎԱՐՈՒԹՅԱՆ ՈՐՈՇՄԱՆ ՆԱԽԱԳԾԻ ԸՆԴՈՒՆՄԱՆ </w:t>
      </w:r>
      <w:r w:rsidR="00752EBC" w:rsidRPr="00064CA9">
        <w:rPr>
          <w:rFonts w:ascii="GHEA Grapalat" w:eastAsia="Calibri" w:hAnsi="GHEA Grapalat" w:cs="Sylfaen"/>
          <w:b/>
          <w:lang w:val="hy-AM"/>
        </w:rPr>
        <w:t>ՎԵՐԱԲԵՐՅԱԼ ՍՏԱՑՎԱԾ ԴԻՏՈՂՈՒԹՅՈՒՆՆԵՐԻ ԵՎ ԱՌԱՋԱՐԿՈՒԹՅՈՒՆՆԵՐԻ, ԴՐԱՆՑ ԸՆԴՈՒՆՄԱՆ ԿԱՄ ՉԸՆԴՈՒՆՄԱՆ ՎԵՐԱԲԵՐՅԱԼ</w:t>
      </w:r>
    </w:p>
    <w:p w:rsidR="00752EBC" w:rsidRPr="00064CA9" w:rsidRDefault="00752EBC" w:rsidP="00752EBC">
      <w:pPr>
        <w:jc w:val="center"/>
        <w:rPr>
          <w:rFonts w:ascii="GHEA Grapalat" w:eastAsia="Calibri" w:hAnsi="GHEA Grapalat" w:cs="Sylfaen"/>
          <w:b/>
          <w:i/>
          <w:lang w:val="hy-AM"/>
        </w:rPr>
      </w:pPr>
    </w:p>
    <w:tbl>
      <w:tblPr>
        <w:tblW w:w="145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00"/>
        <w:gridCol w:w="4678"/>
        <w:gridCol w:w="2126"/>
        <w:gridCol w:w="4736"/>
      </w:tblGrid>
      <w:tr w:rsidR="00865FD9" w:rsidRPr="00064CA9" w:rsidTr="005952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Հիմնավորում</w:t>
            </w:r>
          </w:p>
        </w:tc>
      </w:tr>
      <w:tr w:rsidR="00865FD9" w:rsidRPr="00064CA9" w:rsidTr="005952B7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2915CF" w:rsidP="005952B7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lang w:val="hy-AM"/>
              </w:rPr>
              <w:t>Ա</w:t>
            </w:r>
            <w:r w:rsidR="00865FD9" w:rsidRPr="00064CA9">
              <w:rPr>
                <w:rFonts w:ascii="GHEA Grapalat" w:hAnsi="GHEA Grapalat"/>
                <w:b/>
                <w:lang w:val="hy-AM"/>
              </w:rPr>
              <w:t>րդարադատությաննախարարություն</w:t>
            </w:r>
            <w:proofErr w:type="spellEnd"/>
          </w:p>
          <w:p w:rsidR="00865FD9" w:rsidRPr="00064CA9" w:rsidRDefault="002915CF" w:rsidP="005952B7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N </w:t>
            </w:r>
            <w:r w:rsidRPr="002915CF">
              <w:rPr>
                <w:rFonts w:ascii="GHEA Grapalat" w:hAnsi="GHEA Grapalat"/>
                <w:b/>
                <w:lang w:val="hy-AM"/>
              </w:rPr>
              <w:t>01/14/10024-19</w:t>
            </w:r>
          </w:p>
          <w:p w:rsidR="00865FD9" w:rsidRPr="00064CA9" w:rsidRDefault="002915CF" w:rsidP="005952B7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08.05.2019թ.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2915CF" w:rsidP="002915CF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«</w:t>
            </w:r>
            <w:r w:rsidRPr="002915CF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Հայաստանի Հանրապետության 2019 թվականի պետական բյուջեում վերաբաշխում և Հայաստանի Հանրապետության կառավարության 2018 թվականի դեկտեմբերի 27-ի թիվ 1515-Ն որոշման մեջ փոփոխություններ և լրացումներ կատարելու մասին» 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5952B7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  <w:r w:rsidR="002915CF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865FD9" w:rsidRPr="00064CA9" w:rsidRDefault="00865FD9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02AF5" w:rsidRPr="00064CA9" w:rsidTr="005952B7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Pr="00064CA9" w:rsidRDefault="00D02AF5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Pr="00064CA9" w:rsidRDefault="002915CF" w:rsidP="005952B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Ֆ</w:t>
            </w:r>
            <w:r w:rsidR="00D02AF5" w:rsidRPr="00064CA9">
              <w:rPr>
                <w:rFonts w:ascii="GHEA Grapalat" w:hAnsi="GHEA Grapalat"/>
                <w:b/>
                <w:lang w:val="hy-AM"/>
              </w:rPr>
              <w:t>ինանսների</w:t>
            </w:r>
          </w:p>
          <w:p w:rsidR="00D02AF5" w:rsidRPr="00064CA9" w:rsidRDefault="00D02AF5" w:rsidP="005952B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նախարարություն</w:t>
            </w:r>
          </w:p>
          <w:p w:rsidR="00D02AF5" w:rsidRPr="002915CF" w:rsidRDefault="002915CF" w:rsidP="005952B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en-US"/>
              </w:rPr>
              <w:t>N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915CF">
              <w:rPr>
                <w:rFonts w:ascii="GHEA Grapalat" w:hAnsi="GHEA Grapalat"/>
                <w:b/>
                <w:lang w:val="hy-AM"/>
              </w:rPr>
              <w:t>01/8-3/7690-2019</w:t>
            </w:r>
          </w:p>
          <w:p w:rsidR="00D02AF5" w:rsidRPr="00064CA9" w:rsidRDefault="002915CF" w:rsidP="005952B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10.05.2019թ.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Pr="00064CA9" w:rsidRDefault="002915CF" w:rsidP="002915CF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 w:cs="Sylfaen"/>
                <w:lang w:val="hy-AM" w:eastAsia="x-none"/>
              </w:rPr>
              <w:lastRenderedPageBreak/>
              <w:t xml:space="preserve">Առաջարկվել է </w:t>
            </w:r>
            <w:r w:rsidRPr="002915CF">
              <w:rPr>
                <w:rFonts w:ascii="GHEA Grapalat" w:hAnsi="GHEA Grapalat" w:cs="Sylfaen"/>
                <w:lang w:val="hy-AM" w:eastAsia="x-none"/>
              </w:rPr>
              <w:t xml:space="preserve">նախագծին կից ներկայացնել </w:t>
            </w:r>
            <w:r>
              <w:rPr>
                <w:rFonts w:ascii="GHEA Grapalat" w:hAnsi="GHEA Grapalat" w:cs="Sylfaen"/>
                <w:lang w:val="hy-AM" w:eastAsia="x-none"/>
              </w:rPr>
              <w:t xml:space="preserve">շենքի </w:t>
            </w:r>
            <w:r w:rsidRPr="002915CF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ընթացիկ</w:t>
            </w:r>
            <w:r>
              <w:rPr>
                <w:rFonts w:ascii="GHEA Grapalat" w:hAnsi="GHEA Grapalat" w:cs="Sylfaen"/>
                <w:lang w:val="hy-AM" w:eastAsia="x-none"/>
              </w:rPr>
              <w:t xml:space="preserve"> նորոգման աշխատանք</w:t>
            </w:r>
            <w:r w:rsidRPr="002915CF">
              <w:rPr>
                <w:rFonts w:ascii="GHEA Grapalat" w:hAnsi="GHEA Grapalat" w:cs="Sylfaen"/>
                <w:lang w:val="hy-AM" w:eastAsia="x-none"/>
              </w:rPr>
              <w:t xml:space="preserve">ների ձեռքբերման ֆինանսական </w:t>
            </w:r>
            <w:r w:rsidRPr="002915CF">
              <w:rPr>
                <w:rFonts w:ascii="GHEA Grapalat" w:hAnsi="GHEA Grapalat" w:cs="Sylfaen"/>
                <w:lang w:val="hy-AM" w:eastAsia="x-none"/>
              </w:rPr>
              <w:lastRenderedPageBreak/>
              <w:t>գնահատականի վերաբերյալ համապատասխան հաշվարկ-հիմնավորումները՝ հիմք ը</w:t>
            </w:r>
            <w:r>
              <w:rPr>
                <w:rFonts w:ascii="GHEA Grapalat" w:hAnsi="GHEA Grapalat" w:cs="Sylfaen"/>
                <w:lang w:val="hy-AM" w:eastAsia="x-none"/>
              </w:rPr>
              <w:t xml:space="preserve">նդունելով ՀՀ կառավարության 2015թ </w:t>
            </w:r>
            <w:r w:rsidRPr="002915CF">
              <w:rPr>
                <w:rFonts w:ascii="GHEA Grapalat" w:hAnsi="GHEA Grapalat" w:cs="Sylfaen"/>
                <w:lang w:val="hy-AM" w:eastAsia="x-none"/>
              </w:rPr>
              <w:t>մարտի 19-ի N 596-Ն որոշմամբ հաստատված 4-րդ հավելվածի 2-րդ կետը՝ «Ը</w:t>
            </w:r>
            <w:r>
              <w:rPr>
                <w:rFonts w:ascii="GHEA Grapalat" w:hAnsi="GHEA Grapalat" w:cs="Sylfaen"/>
                <w:lang w:val="hy-AM" w:eastAsia="x-none"/>
              </w:rPr>
              <w:t>նթացիկ նորոգման, ներքին հարդար</w:t>
            </w:r>
            <w:r w:rsidRPr="002915CF">
              <w:rPr>
                <w:rFonts w:ascii="GHEA Grapalat" w:hAnsi="GHEA Grapalat" w:cs="Sylfaen"/>
                <w:lang w:val="hy-AM" w:eastAsia="x-none"/>
              </w:rPr>
              <w:t>ման և ընդհանուր օգտագործման տարածքներում բարեկարգման աշխատանքների կազմա</w:t>
            </w:r>
            <w:r>
              <w:rPr>
                <w:rFonts w:ascii="GHEA Grapalat" w:hAnsi="GHEA Grapalat" w:cs="Sylfaen"/>
                <w:lang w:val="hy-AM" w:eastAsia="x-none"/>
              </w:rPr>
              <w:t>կերպ</w:t>
            </w:r>
            <w:r w:rsidRPr="002915CF">
              <w:rPr>
                <w:rFonts w:ascii="GHEA Grapalat" w:hAnsi="GHEA Grapalat" w:cs="Sylfaen"/>
                <w:lang w:val="hy-AM" w:eastAsia="x-none"/>
              </w:rPr>
              <w:t>ման համար կարող է կատարվել շենքերի և շինությունների ուսումնասիրություն, կազմվել թերությունների մասին ակտ, աշխատանքների ցանկ և, անհրաժեշտության դեպքում, նախահաշիվ:»: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306" w:rsidRPr="005952B7" w:rsidRDefault="005952B7" w:rsidP="005952B7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Չի ընդունվել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2B7" w:rsidRPr="005952B7" w:rsidRDefault="005952B7" w:rsidP="005952B7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ՀՀ կառավարության 2015թ 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մարտի 19-ի N 596-Ն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որոշման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4-րդ հավելվածի 2-րդ կետի համաձայն</w:t>
            </w: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՝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շեն</w:t>
            </w: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քերիի</w:t>
            </w:r>
            <w:proofErr w:type="spellEnd"/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ընթացիկ նորոգման աշխատանք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ների 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lastRenderedPageBreak/>
              <w:t xml:space="preserve">ձեռքբերման ֆինանսական գնահատականի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վերաբերյալ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հաշվարկ-հիմնավորումների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բացակայությունը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պայմանավորված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է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անհրաժեշտ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աշխատանքի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ծավալի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հաշվարկման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ծառայությունների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ձեռքբերման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համար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ֆինանսկան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միջոցների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բացակայությամբ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: </w:t>
            </w:r>
          </w:p>
          <w:p w:rsidR="003A2306" w:rsidRPr="003A2306" w:rsidRDefault="005952B7" w:rsidP="005952B7">
            <w:pPr>
              <w:pStyle w:val="ListParagraph"/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Ներկայացված որոշման նախա</w:t>
            </w: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գծով </w:t>
            </w:r>
            <w:proofErr w:type="spellStart"/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վերաբաշխվող</w:t>
            </w:r>
            <w:proofErr w:type="spellEnd"/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176,600.0 հազ.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դրամից 950.0 հազար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դրամն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ուղղվելու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է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աշխատանքի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ծավալի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հաշվարկման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ծառայությունների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ձեռքբերմանը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: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Աշխատանքի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ծավալի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հաշվարկման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ծառայությունների</w:t>
            </w:r>
            <w:proofErr w:type="spellEnd"/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 ձեռքբերմա</w:t>
            </w: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ն արդյունքում կազմված՝ աշխատանք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 xml:space="preserve">ների ձեռքբերման ֆինանսական գնահատականի վերաբերյալ հաշվարկ-հիմնավորումները կներկայացվեն </w:t>
            </w:r>
            <w:r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Ֆ</w:t>
            </w:r>
            <w:r w:rsidRPr="005952B7"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  <w:t>ինանսների նախարարություն:</w:t>
            </w:r>
          </w:p>
        </w:tc>
      </w:tr>
    </w:tbl>
    <w:p w:rsidR="00D60F8B" w:rsidRPr="00064CA9" w:rsidRDefault="00D60F8B">
      <w:pPr>
        <w:rPr>
          <w:rFonts w:ascii="GHEA Grapalat" w:hAnsi="GHEA Grapalat"/>
          <w:lang w:val="hy-AM"/>
        </w:rPr>
      </w:pPr>
    </w:p>
    <w:p w:rsidR="004B1F00" w:rsidRPr="00064CA9" w:rsidRDefault="004B1F00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4B1F00" w:rsidRPr="00064CA9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1D8"/>
    <w:multiLevelType w:val="hybridMultilevel"/>
    <w:tmpl w:val="2DEE56E2"/>
    <w:lvl w:ilvl="0" w:tplc="6F0A765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E7D42"/>
    <w:multiLevelType w:val="hybridMultilevel"/>
    <w:tmpl w:val="74206B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FA2660"/>
    <w:multiLevelType w:val="hybridMultilevel"/>
    <w:tmpl w:val="CD18B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1128E"/>
    <w:multiLevelType w:val="hybridMultilevel"/>
    <w:tmpl w:val="17023156"/>
    <w:lvl w:ilvl="0" w:tplc="0409000F">
      <w:start w:val="1"/>
      <w:numFmt w:val="decimal"/>
      <w:lvlText w:val="%1."/>
      <w:lvlJc w:val="left"/>
      <w:pPr>
        <w:ind w:left="934" w:hanging="360"/>
      </w:p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687105E6"/>
    <w:multiLevelType w:val="hybridMultilevel"/>
    <w:tmpl w:val="EED85BBC"/>
    <w:lvl w:ilvl="0" w:tplc="5044B548">
      <w:numFmt w:val="bullet"/>
      <w:lvlText w:val="-"/>
      <w:lvlJc w:val="left"/>
      <w:pPr>
        <w:ind w:left="1800" w:hanging="360"/>
      </w:pPr>
      <w:rPr>
        <w:rFonts w:ascii="GHEA Grapalat" w:eastAsia="Calibri" w:hAnsi="GHEA Grapalat" w:cs="Arial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22"/>
    <w:rsid w:val="0000111E"/>
    <w:rsid w:val="00002675"/>
    <w:rsid w:val="00056E47"/>
    <w:rsid w:val="00064CA9"/>
    <w:rsid w:val="00081231"/>
    <w:rsid w:val="00120167"/>
    <w:rsid w:val="00215909"/>
    <w:rsid w:val="0023653E"/>
    <w:rsid w:val="002915CF"/>
    <w:rsid w:val="002A326B"/>
    <w:rsid w:val="002B60D1"/>
    <w:rsid w:val="002C25B6"/>
    <w:rsid w:val="002E56AE"/>
    <w:rsid w:val="0032330E"/>
    <w:rsid w:val="003A2306"/>
    <w:rsid w:val="003C6FA8"/>
    <w:rsid w:val="003E5D4E"/>
    <w:rsid w:val="003F29B5"/>
    <w:rsid w:val="00470899"/>
    <w:rsid w:val="004B1F00"/>
    <w:rsid w:val="004D2008"/>
    <w:rsid w:val="004D79FE"/>
    <w:rsid w:val="004D7C68"/>
    <w:rsid w:val="00511912"/>
    <w:rsid w:val="0053374D"/>
    <w:rsid w:val="005952B7"/>
    <w:rsid w:val="00634E00"/>
    <w:rsid w:val="00661B0F"/>
    <w:rsid w:val="006805E5"/>
    <w:rsid w:val="006846C8"/>
    <w:rsid w:val="00687EB5"/>
    <w:rsid w:val="00696CAA"/>
    <w:rsid w:val="006B2BCC"/>
    <w:rsid w:val="006F6B16"/>
    <w:rsid w:val="00734270"/>
    <w:rsid w:val="00752EBC"/>
    <w:rsid w:val="0078076B"/>
    <w:rsid w:val="00792E36"/>
    <w:rsid w:val="008143A8"/>
    <w:rsid w:val="00847A66"/>
    <w:rsid w:val="00865FD9"/>
    <w:rsid w:val="00985C8C"/>
    <w:rsid w:val="00990719"/>
    <w:rsid w:val="00A407F4"/>
    <w:rsid w:val="00B10273"/>
    <w:rsid w:val="00B224DA"/>
    <w:rsid w:val="00B314F0"/>
    <w:rsid w:val="00B80B04"/>
    <w:rsid w:val="00BD3022"/>
    <w:rsid w:val="00C475F7"/>
    <w:rsid w:val="00D02AF5"/>
    <w:rsid w:val="00D46A86"/>
    <w:rsid w:val="00D60F8B"/>
    <w:rsid w:val="00E12687"/>
    <w:rsid w:val="00E65F4D"/>
    <w:rsid w:val="00EE3691"/>
    <w:rsid w:val="00F32D0F"/>
    <w:rsid w:val="00F53321"/>
    <w:rsid w:val="00F6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19B6"/>
  <w15:docId w15:val="{BB4EE09C-FA29-48C6-8286-8FA20001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2E5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6AE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B1027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10273"/>
    <w:rPr>
      <w:rFonts w:ascii="Arial Armenian" w:eastAsia="Times New Roman" w:hAnsi="Arial Armenian" w:cs="Times New Roman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B1F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64CA9"/>
    <w:pPr>
      <w:spacing w:after="0" w:line="240" w:lineRule="auto"/>
      <w:ind w:left="576" w:hanging="57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49A4-8D8B-422A-9B4D-B8AEC2F6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lastModifiedBy>Ashot Pirumyan</cp:lastModifiedBy>
  <cp:revision>17</cp:revision>
  <cp:lastPrinted>2018-10-26T12:25:00Z</cp:lastPrinted>
  <dcterms:created xsi:type="dcterms:W3CDTF">2018-10-25T07:30:00Z</dcterms:created>
  <dcterms:modified xsi:type="dcterms:W3CDTF">2019-05-13T06:55:00Z</dcterms:modified>
  <cp:keywords>Mulberry 2.0</cp:keywords>
</cp:coreProperties>
</file>