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08" w:rsidRDefault="00B63408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4F0A0C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4F0A0C">
        <w:rPr>
          <w:rFonts w:ascii="GHEA Grapalat" w:hAnsi="GHEA Grapalat" w:cs="Sylfaen"/>
          <w:b/>
          <w:lang w:eastAsia="ru-RU"/>
        </w:rPr>
        <w:t>Ն</w:t>
      </w:r>
    </w:p>
    <w:p w:rsidR="00005197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  <w:bookmarkStart w:id="0" w:name="_GoBack"/>
      <w:bookmarkEnd w:id="0"/>
    </w:p>
    <w:p w:rsidR="00641FF2" w:rsidRPr="009E0122" w:rsidRDefault="009E2C5B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ՊԵՏԱԿԱՆ ԲՅՈՒՋԵՈՒՄ ՎԵՐԱԲԱՇԽՈՒՄ,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 w:rsidR="00641FF2">
        <w:rPr>
          <w:rFonts w:ascii="GHEA Grapalat" w:hAnsi="GHEA Grapalat"/>
          <w:b/>
          <w:sz w:val="24"/>
          <w:szCs w:val="24"/>
          <w:lang w:val="af-ZA"/>
        </w:rPr>
        <w:t>8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 w:rsidR="00641FF2">
        <w:rPr>
          <w:rFonts w:ascii="GHEA Grapalat" w:hAnsi="GHEA Grapalat"/>
          <w:b/>
          <w:sz w:val="24"/>
          <w:szCs w:val="24"/>
          <w:lang w:val="af-ZA"/>
        </w:rPr>
        <w:t>7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 w:rsidR="00641FF2">
        <w:rPr>
          <w:rFonts w:ascii="GHEA Grapalat" w:hAnsi="GHEA Grapalat"/>
          <w:b/>
          <w:sz w:val="24"/>
          <w:szCs w:val="24"/>
          <w:lang w:val="af-ZA"/>
        </w:rPr>
        <w:t>515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 w:rsidR="00641FF2"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4F88"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1FF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D34BEE" w:rsidRDefault="00D34BEE" w:rsidP="00D34BE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34B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D34B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մասին</w:t>
      </w:r>
      <w:r w:rsidRPr="00D34BEE"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մասը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2019 թվականի պետական բյուջեի մասին»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E2C5B" w:rsidRP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 հավելվածում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NN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3, 4,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11 և 11</w:t>
      </w:r>
      <w:r w:rsidR="009E2C5B" w:rsidRP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հավելված</w:t>
      </w:r>
      <w:proofErr w:type="spellEnd"/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1,</w:t>
      </w:r>
      <w:r w:rsidR="00314C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E2C5B">
        <w:rPr>
          <w:rFonts w:ascii="GHEA Grapalat" w:hAnsi="GHEA Grapalat" w:cs="Sylfaen"/>
          <w:sz w:val="24"/>
          <w:szCs w:val="24"/>
          <w:lang w:val="hy-AM"/>
        </w:rPr>
        <w:t>, 3 և 4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34BE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sectPr w:rsidR="0031406A" w:rsidRPr="004F1495" w:rsidSect="000F595B">
      <w:footerReference w:type="default" r:id="rId8"/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33" w:rsidRDefault="004D0133" w:rsidP="00AE4509">
      <w:pPr>
        <w:spacing w:after="0" w:line="240" w:lineRule="auto"/>
      </w:pPr>
      <w:r>
        <w:separator/>
      </w:r>
    </w:p>
  </w:endnote>
  <w:endnote w:type="continuationSeparator" w:id="0">
    <w:p w:rsidR="004D0133" w:rsidRDefault="004D0133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33" w:rsidRDefault="004D0133" w:rsidP="00AE4509">
      <w:pPr>
        <w:spacing w:after="0" w:line="240" w:lineRule="auto"/>
      </w:pPr>
      <w:r>
        <w:separator/>
      </w:r>
    </w:p>
  </w:footnote>
  <w:footnote w:type="continuationSeparator" w:id="0">
    <w:p w:rsidR="004D0133" w:rsidRDefault="004D0133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4536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C1262"/>
    <w:rsid w:val="000D209E"/>
    <w:rsid w:val="000E5C25"/>
    <w:rsid w:val="000E6330"/>
    <w:rsid w:val="000F040A"/>
    <w:rsid w:val="000F0AE7"/>
    <w:rsid w:val="000F595B"/>
    <w:rsid w:val="00116CC2"/>
    <w:rsid w:val="00116E63"/>
    <w:rsid w:val="00145513"/>
    <w:rsid w:val="00162529"/>
    <w:rsid w:val="00164E7A"/>
    <w:rsid w:val="001849EA"/>
    <w:rsid w:val="00185CDE"/>
    <w:rsid w:val="00193131"/>
    <w:rsid w:val="001A3619"/>
    <w:rsid w:val="001B5E44"/>
    <w:rsid w:val="001D1B0A"/>
    <w:rsid w:val="001D5E7E"/>
    <w:rsid w:val="002168D2"/>
    <w:rsid w:val="00230E4B"/>
    <w:rsid w:val="00251FA1"/>
    <w:rsid w:val="00261895"/>
    <w:rsid w:val="00261EF2"/>
    <w:rsid w:val="00265B43"/>
    <w:rsid w:val="00280771"/>
    <w:rsid w:val="002862B4"/>
    <w:rsid w:val="00297EF9"/>
    <w:rsid w:val="002B2912"/>
    <w:rsid w:val="002B51C3"/>
    <w:rsid w:val="002C022F"/>
    <w:rsid w:val="002D3A7F"/>
    <w:rsid w:val="002D3D03"/>
    <w:rsid w:val="002D6816"/>
    <w:rsid w:val="002F153F"/>
    <w:rsid w:val="00302F4C"/>
    <w:rsid w:val="003129BB"/>
    <w:rsid w:val="0031406A"/>
    <w:rsid w:val="00314C33"/>
    <w:rsid w:val="003157ED"/>
    <w:rsid w:val="00316803"/>
    <w:rsid w:val="00340CD6"/>
    <w:rsid w:val="00354EB2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3170"/>
    <w:rsid w:val="004378FD"/>
    <w:rsid w:val="0045753C"/>
    <w:rsid w:val="0046061F"/>
    <w:rsid w:val="00494C7D"/>
    <w:rsid w:val="00495425"/>
    <w:rsid w:val="00495C51"/>
    <w:rsid w:val="004A6299"/>
    <w:rsid w:val="004C1350"/>
    <w:rsid w:val="004D0133"/>
    <w:rsid w:val="004E11E1"/>
    <w:rsid w:val="004E7F01"/>
    <w:rsid w:val="004F02A0"/>
    <w:rsid w:val="004F066B"/>
    <w:rsid w:val="004F0A0C"/>
    <w:rsid w:val="004F1495"/>
    <w:rsid w:val="00516DE6"/>
    <w:rsid w:val="005216D6"/>
    <w:rsid w:val="00523672"/>
    <w:rsid w:val="005310CF"/>
    <w:rsid w:val="00533482"/>
    <w:rsid w:val="00534C16"/>
    <w:rsid w:val="005651B1"/>
    <w:rsid w:val="005804B1"/>
    <w:rsid w:val="0058185A"/>
    <w:rsid w:val="005A5F4A"/>
    <w:rsid w:val="005A67A0"/>
    <w:rsid w:val="005D047B"/>
    <w:rsid w:val="005D2BAA"/>
    <w:rsid w:val="005D7E92"/>
    <w:rsid w:val="005E05AD"/>
    <w:rsid w:val="005E5CB9"/>
    <w:rsid w:val="005E7253"/>
    <w:rsid w:val="005F1984"/>
    <w:rsid w:val="00602E43"/>
    <w:rsid w:val="00622569"/>
    <w:rsid w:val="00630366"/>
    <w:rsid w:val="00640E33"/>
    <w:rsid w:val="0064147C"/>
    <w:rsid w:val="00641FF2"/>
    <w:rsid w:val="00645260"/>
    <w:rsid w:val="006563AE"/>
    <w:rsid w:val="00656CC1"/>
    <w:rsid w:val="00683529"/>
    <w:rsid w:val="0069044F"/>
    <w:rsid w:val="006949BD"/>
    <w:rsid w:val="006A5EE9"/>
    <w:rsid w:val="006A783A"/>
    <w:rsid w:val="006C2236"/>
    <w:rsid w:val="006D1332"/>
    <w:rsid w:val="006E0F06"/>
    <w:rsid w:val="006E6F9B"/>
    <w:rsid w:val="006F5107"/>
    <w:rsid w:val="007103CB"/>
    <w:rsid w:val="00722772"/>
    <w:rsid w:val="00722898"/>
    <w:rsid w:val="0072718D"/>
    <w:rsid w:val="00733062"/>
    <w:rsid w:val="00733F86"/>
    <w:rsid w:val="00757749"/>
    <w:rsid w:val="0078024F"/>
    <w:rsid w:val="00787FD1"/>
    <w:rsid w:val="00787FD8"/>
    <w:rsid w:val="007A10E2"/>
    <w:rsid w:val="007A22E9"/>
    <w:rsid w:val="008040E9"/>
    <w:rsid w:val="00810C03"/>
    <w:rsid w:val="00831476"/>
    <w:rsid w:val="00843899"/>
    <w:rsid w:val="00847BE0"/>
    <w:rsid w:val="00851012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204F"/>
    <w:rsid w:val="008F6990"/>
    <w:rsid w:val="009060DE"/>
    <w:rsid w:val="00931342"/>
    <w:rsid w:val="00933A35"/>
    <w:rsid w:val="009373B3"/>
    <w:rsid w:val="00941A46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9E2C5B"/>
    <w:rsid w:val="009F5771"/>
    <w:rsid w:val="00A10CC6"/>
    <w:rsid w:val="00A11D6A"/>
    <w:rsid w:val="00A251F5"/>
    <w:rsid w:val="00A27549"/>
    <w:rsid w:val="00A44112"/>
    <w:rsid w:val="00A76B09"/>
    <w:rsid w:val="00A81E74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26BDE"/>
    <w:rsid w:val="00B36098"/>
    <w:rsid w:val="00B47078"/>
    <w:rsid w:val="00B47537"/>
    <w:rsid w:val="00B47E35"/>
    <w:rsid w:val="00B53BE3"/>
    <w:rsid w:val="00B60FA8"/>
    <w:rsid w:val="00B63408"/>
    <w:rsid w:val="00B63B85"/>
    <w:rsid w:val="00B77CF1"/>
    <w:rsid w:val="00B91D0D"/>
    <w:rsid w:val="00B96508"/>
    <w:rsid w:val="00BA45D7"/>
    <w:rsid w:val="00BA52BF"/>
    <w:rsid w:val="00BA6E93"/>
    <w:rsid w:val="00BB6D3E"/>
    <w:rsid w:val="00BB762D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709D1"/>
    <w:rsid w:val="00C82376"/>
    <w:rsid w:val="00C914F5"/>
    <w:rsid w:val="00CC09B2"/>
    <w:rsid w:val="00CC7AB9"/>
    <w:rsid w:val="00D02567"/>
    <w:rsid w:val="00D11552"/>
    <w:rsid w:val="00D212C2"/>
    <w:rsid w:val="00D325A8"/>
    <w:rsid w:val="00D34BEE"/>
    <w:rsid w:val="00D359E6"/>
    <w:rsid w:val="00D425A0"/>
    <w:rsid w:val="00D44C89"/>
    <w:rsid w:val="00D6357E"/>
    <w:rsid w:val="00D7044C"/>
    <w:rsid w:val="00D97F30"/>
    <w:rsid w:val="00DA145B"/>
    <w:rsid w:val="00DB10F9"/>
    <w:rsid w:val="00DE397D"/>
    <w:rsid w:val="00DE7D58"/>
    <w:rsid w:val="00DE7EFE"/>
    <w:rsid w:val="00DF295F"/>
    <w:rsid w:val="00DF427F"/>
    <w:rsid w:val="00E07FA8"/>
    <w:rsid w:val="00E242D6"/>
    <w:rsid w:val="00E36523"/>
    <w:rsid w:val="00E45781"/>
    <w:rsid w:val="00E74163"/>
    <w:rsid w:val="00EA4EEF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14F88"/>
    <w:rsid w:val="00F307CC"/>
    <w:rsid w:val="00F35656"/>
    <w:rsid w:val="00F50876"/>
    <w:rsid w:val="00F56782"/>
    <w:rsid w:val="00F661F6"/>
    <w:rsid w:val="00F67B7F"/>
    <w:rsid w:val="00F72AEB"/>
    <w:rsid w:val="00F72EE9"/>
    <w:rsid w:val="00F9005C"/>
    <w:rsid w:val="00FA25EB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https://mul2.gov.am/tasks/92341/oneclick/naxagic.docx?token=d1d6e5c8f829632e95bff2b352799b34</cp:keywords>
  <cp:lastModifiedBy>h.aperyan</cp:lastModifiedBy>
  <cp:revision>9</cp:revision>
  <cp:lastPrinted>2019-06-12T11:17:00Z</cp:lastPrinted>
  <dcterms:created xsi:type="dcterms:W3CDTF">2019-03-14T05:40:00Z</dcterms:created>
  <dcterms:modified xsi:type="dcterms:W3CDTF">2019-06-28T15:16:00Z</dcterms:modified>
</cp:coreProperties>
</file>