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61"/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"/>
        <w:gridCol w:w="10054"/>
      </w:tblGrid>
      <w:tr w:rsidR="000C0767" w:rsidRPr="004312BC" w:rsidTr="00B851D3">
        <w:trPr>
          <w:trHeight w:val="1833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0C0767" w:rsidRPr="00486174" w:rsidRDefault="0037767B" w:rsidP="0037767B">
            <w:pPr>
              <w:spacing w:after="240"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>«</w:t>
            </w:r>
            <w:r w:rsidR="00AD0D18">
              <w:rPr>
                <w:rFonts w:ascii="GHEA Grapalat" w:hAnsi="GHEA Grapalat"/>
                <w:b/>
                <w:lang w:val="af-ZA"/>
              </w:rPr>
              <w:t>ՀԱՅԱՍՏԱՆԻ ՀԱՆՐԱՊԵՏՈՒԹՅԱՆ 201</w:t>
            </w:r>
            <w:r w:rsidR="00AD0D18">
              <w:rPr>
                <w:rFonts w:ascii="GHEA Grapalat" w:hAnsi="GHEA Grapalat"/>
                <w:b/>
                <w:lang w:val="hy-AM"/>
              </w:rPr>
              <w:t>9</w:t>
            </w:r>
            <w:r w:rsidR="00AD0D18">
              <w:rPr>
                <w:rFonts w:ascii="GHEA Grapalat" w:hAnsi="GHEA Grapalat"/>
                <w:b/>
                <w:lang w:val="af-ZA"/>
              </w:rPr>
              <w:t xml:space="preserve"> ԹՎԱԿԱՆԻ</w:t>
            </w:r>
            <w:r w:rsidR="00AD0D18">
              <w:rPr>
                <w:rFonts w:ascii="GHEA Grapalat" w:hAnsi="GHEA Grapalat"/>
                <w:b/>
                <w:lang w:val="hy-AM"/>
              </w:rPr>
              <w:t xml:space="preserve"> ՊԵՏԱԿԱՆ ԲՅՈՒՋԵՈՒՄ ՎԵՐԱԲԱՇԽՈՒՄ,</w:t>
            </w:r>
            <w:r w:rsidR="00AD0D18">
              <w:rPr>
                <w:rFonts w:ascii="GHEA Grapalat" w:hAnsi="GHEA Grapalat"/>
                <w:b/>
                <w:lang w:val="af-ZA"/>
              </w:rPr>
              <w:t xml:space="preserve"> ՀԱՅԱՍՏԱՆԻ ՀԱՆՐԱՊԵՏՈՒԹՅԱՆ ԿԱՌԱՎԱՐՈՒԹՅԱՆ 2018 ԹՎԱԿԱՆԻ ԴԵԿՏԵՄԲԵՐԻ 27-Ի N 1515-Ն ՈՐՈՇՄԱՆ ՄԵՋ ՓՈՓՈԽՈՒԹՅՈՒՆՆԵՐ</w:t>
            </w:r>
            <w:r w:rsidR="00AD0D18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D0D18">
              <w:rPr>
                <w:rFonts w:ascii="GHEA Grapalat" w:hAnsi="GHEA Grapalat"/>
                <w:b/>
                <w:lang w:val="af-ZA"/>
              </w:rPr>
              <w:t>ԿԱՏԱՐԵԼՈՒ ՄԱՍԻՆ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>»</w:t>
            </w:r>
            <w:r w:rsidR="00595939" w:rsidRP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0C0767" w:rsidRPr="0075287C" w:rsidTr="00B851D3">
        <w:trPr>
          <w:trHeight w:val="45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</w:rPr>
              <w:t>Անհրաժեշտությունը</w:t>
            </w:r>
            <w:proofErr w:type="spellEnd"/>
          </w:p>
        </w:tc>
      </w:tr>
      <w:tr w:rsidR="000C0767" w:rsidRPr="00A0568B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19B" w:rsidRPr="0037619B" w:rsidRDefault="0037619B" w:rsidP="0037619B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7619B">
              <w:rPr>
                <w:rFonts w:ascii="GHEA Grapalat" w:hAnsi="GHEA Grapalat"/>
                <w:lang w:val="hy-AM"/>
              </w:rPr>
              <w:t xml:space="preserve">Ասիական զարգացման բանկի աջակցությամբ իրականացվող Քաղաքային կայուն զարգացման ներդրումային ծրագիր (ՔԿԶՆԾ) Տրանշ 2 (ծրագիր 1157, միջոցառում 12013) ծրագրի 2019 թվականի պետական </w:t>
            </w:r>
            <w:proofErr w:type="spellStart"/>
            <w:r w:rsidRPr="0037619B">
              <w:rPr>
                <w:rFonts w:ascii="GHEA Grapalat" w:hAnsi="GHEA Grapalat"/>
                <w:lang w:val="hy-AM"/>
              </w:rPr>
              <w:t>բյուջով</w:t>
            </w:r>
            <w:proofErr w:type="spellEnd"/>
            <w:r w:rsidRPr="0037619B">
              <w:rPr>
                <w:rFonts w:ascii="GHEA Grapalat" w:hAnsi="GHEA Grapalat"/>
                <w:lang w:val="hy-AM"/>
              </w:rPr>
              <w:t xml:space="preserve"> հաստատված հատկացումների և 2019 թվականի համար հաստատված եռամսյակային համամասնությունների շրջանակներում անհրաժեշտություն է առաջացել վարկային միջոցների մասով ներգրավել հավելյալ ֆինանսական միջոցներ </w:t>
            </w:r>
            <w:proofErr w:type="spellStart"/>
            <w:r w:rsidRPr="0037619B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37619B">
              <w:rPr>
                <w:rFonts w:ascii="GHEA Grapalat" w:hAnsi="GHEA Grapalat"/>
                <w:lang w:val="hy-AM"/>
              </w:rPr>
              <w:t xml:space="preserve"> հիմնավորմամբ. </w:t>
            </w:r>
          </w:p>
          <w:p w:rsidR="00FE3C5B" w:rsidRPr="00FE3C5B" w:rsidRDefault="00FE3C5B" w:rsidP="00FE3C5B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FE3C5B">
              <w:rPr>
                <w:rFonts w:ascii="GHEA Grapalat" w:hAnsi="GHEA Grapalat"/>
                <w:lang w:val="hy-AM"/>
              </w:rPr>
              <w:t>ՔԿԶՆԾ Տրանշ 2 (ծրագիր 1157, միջոցառում 12013) ծրագրի շրջանակներում Արգավանդ-Շիրակ ճանապարհահատվածի կառուցման շինարարական աշխատանքների իրականացման նպատակով աշխատանքների ձեռքբերման մրցութային գործընթացի արդյունքում «</w:t>
            </w:r>
            <w:proofErr w:type="spellStart"/>
            <w:r w:rsidRPr="00FE3C5B">
              <w:rPr>
                <w:rFonts w:ascii="GHEA Grapalat" w:hAnsi="GHEA Grapalat"/>
                <w:lang w:val="hy-AM"/>
              </w:rPr>
              <w:t>Levantina</w:t>
            </w:r>
            <w:proofErr w:type="spellEnd"/>
            <w:r w:rsidRPr="00FE3C5B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E3C5B">
              <w:rPr>
                <w:rFonts w:ascii="GHEA Grapalat" w:hAnsi="GHEA Grapalat"/>
                <w:lang w:val="hy-AM"/>
              </w:rPr>
              <w:t>Ingenieria</w:t>
            </w:r>
            <w:proofErr w:type="spellEnd"/>
            <w:r w:rsidRPr="00FE3C5B">
              <w:rPr>
                <w:rFonts w:ascii="GHEA Grapalat" w:hAnsi="GHEA Grapalat"/>
                <w:lang w:val="hy-AM"/>
              </w:rPr>
              <w:t xml:space="preserve"> Y </w:t>
            </w:r>
            <w:proofErr w:type="spellStart"/>
            <w:r w:rsidRPr="00FE3C5B">
              <w:rPr>
                <w:rFonts w:ascii="GHEA Grapalat" w:hAnsi="GHEA Grapalat"/>
                <w:lang w:val="hy-AM"/>
              </w:rPr>
              <w:t>Construccion</w:t>
            </w:r>
            <w:proofErr w:type="spellEnd"/>
            <w:r w:rsidRPr="00FE3C5B">
              <w:rPr>
                <w:rFonts w:ascii="GHEA Grapalat" w:hAnsi="GHEA Grapalat"/>
                <w:lang w:val="hy-AM"/>
              </w:rPr>
              <w:t xml:space="preserve"> S.L» կազմակերպության  հետ ս/թ հուլիսի 16-ին կնքվել է պայմանագիր, որով նախատեսված է տրամադրել կանխավճար մոտ 2.5 մլրդ ՀՀ դրամի չափով, ինչպես նաև 2019 թվականին նախատեսվում է կատարել վճարումներ շինարարական աշխատանքների համար մոտ 2.0 մլրդ ՀՀ դրամի չափով։</w:t>
            </w:r>
          </w:p>
          <w:p w:rsidR="007474B6" w:rsidRPr="00B60145" w:rsidRDefault="00FE3C5B" w:rsidP="00FE3C5B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FE3C5B">
              <w:rPr>
                <w:rFonts w:ascii="GHEA Grapalat" w:hAnsi="GHEA Grapalat"/>
                <w:lang w:val="hy-AM"/>
              </w:rPr>
              <w:t>2019 թվականի բյուջետային տարվա կտրվածքով կապիտալ ծախսերի համար հաստատված վարկային միջոցները բավարար չեն վերը նշված վճարային պարտավորությունները կատարելու համար։</w:t>
            </w:r>
          </w:p>
        </w:tc>
      </w:tr>
      <w:tr w:rsidR="000C0767" w:rsidRPr="0075287C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3501F0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Ընթացիկ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իրավիճակը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և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խնդիրները</w:t>
            </w:r>
            <w:proofErr w:type="spellEnd"/>
          </w:p>
        </w:tc>
      </w:tr>
      <w:tr w:rsidR="000C0767" w:rsidRPr="001A2B67" w:rsidTr="00B851D3">
        <w:trPr>
          <w:trHeight w:val="8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67" w:rsidRPr="00CC40AD" w:rsidRDefault="0037619B" w:rsidP="0037767B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7619B">
              <w:rPr>
                <w:rFonts w:ascii="GHEA Grapalat" w:hAnsi="GHEA Grapalat"/>
                <w:lang w:val="hy-AM"/>
              </w:rPr>
              <w:t xml:space="preserve">Արգավանդ-Շիրակ ճանապարհահատվածի կառուցման համար ֆինանսական միջոցները նախատեսվել են </w:t>
            </w:r>
            <w:proofErr w:type="spellStart"/>
            <w:r w:rsidRPr="0037619B">
              <w:rPr>
                <w:rFonts w:ascii="GHEA Grapalat" w:hAnsi="GHEA Grapalat"/>
                <w:lang w:val="hy-AM"/>
              </w:rPr>
              <w:t>դեռևս</w:t>
            </w:r>
            <w:proofErr w:type="spellEnd"/>
            <w:r w:rsidRPr="0037619B">
              <w:rPr>
                <w:rFonts w:ascii="GHEA Grapalat" w:hAnsi="GHEA Grapalat"/>
                <w:lang w:val="hy-AM"/>
              </w:rPr>
              <w:t xml:space="preserve"> 2019 թվականի համար ներկայացված բյուջետային հայտով, սակայն հաստատման փուլում նվազեցվել են, ուստի  անհրաժեշտություն է առաջացել «Հայաստանի Հանրապետության 2019 թվականի պետական բյուջեի մասին» Հայաստանի Հանրապետության օրենքով հաստատված </w:t>
            </w:r>
            <w:r w:rsidR="0037767B">
              <w:rPr>
                <w:rFonts w:ascii="GHEA Grapalat" w:hAnsi="GHEA Grapalat"/>
                <w:lang w:val="en-US"/>
              </w:rPr>
              <w:t>«</w:t>
            </w:r>
            <w:r w:rsidR="0037767B" w:rsidRPr="0037767B">
              <w:rPr>
                <w:rFonts w:ascii="GHEA Grapalat" w:hAnsi="GHEA Grapalat"/>
                <w:lang w:val="en-US"/>
              </w:rPr>
              <w:t>1157</w:t>
            </w:r>
            <w:r w:rsidR="0037767B">
              <w:rPr>
                <w:rFonts w:ascii="GHEA Grapalat" w:hAnsi="GHEA Grapalat"/>
                <w:lang w:val="en-US"/>
              </w:rPr>
              <w:t xml:space="preserve">  </w:t>
            </w:r>
            <w:r w:rsidR="0037767B" w:rsidRPr="0037767B">
              <w:rPr>
                <w:rFonts w:ascii="GHEA Grapalat" w:hAnsi="GHEA Grapalat"/>
                <w:lang w:val="en-US"/>
              </w:rPr>
              <w:t>12013</w:t>
            </w:r>
            <w:r w:rsidR="0037767B">
              <w:rPr>
                <w:rFonts w:ascii="GHEA Grapalat" w:hAnsi="GHEA Grapalat"/>
                <w:lang w:val="en-US"/>
              </w:rPr>
              <w:t xml:space="preserve"> </w:t>
            </w:r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Ասիական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lastRenderedPageBreak/>
              <w:t>զարգացման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բանկի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աջակցությամբ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իրականացվող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քաղաքային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ենթակառուցվածքների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քաղաքի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կայուն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ներդրումային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երկրորդ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ծրագիր</w:t>
            </w:r>
            <w:proofErr w:type="spellEnd"/>
            <w:r w:rsidR="0037767B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37767B">
              <w:rPr>
                <w:rFonts w:ascii="GHEA Grapalat" w:hAnsi="GHEA Grapalat"/>
                <w:lang w:val="en-US"/>
              </w:rPr>
              <w:t>միջոցառման</w:t>
            </w:r>
            <w:proofErr w:type="spellEnd"/>
            <w:r w:rsidR="0037767B">
              <w:rPr>
                <w:rFonts w:ascii="GHEA Grapalat" w:hAnsi="GHEA Grapalat"/>
                <w:lang w:val="en-US"/>
              </w:rPr>
              <w:t xml:space="preserve"> </w:t>
            </w:r>
            <w:r w:rsidR="0037767B" w:rsidRPr="0037619B">
              <w:rPr>
                <w:rFonts w:ascii="GHEA Grapalat" w:hAnsi="GHEA Grapalat"/>
                <w:lang w:val="hy-AM"/>
              </w:rPr>
              <w:t xml:space="preserve"> հատկացումներ</w:t>
            </w:r>
            <w:r w:rsidR="0037767B">
              <w:rPr>
                <w:rFonts w:ascii="GHEA Grapalat" w:hAnsi="GHEA Grapalat"/>
                <w:lang w:val="en-US"/>
              </w:rPr>
              <w:t>ը`</w:t>
            </w:r>
            <w:r w:rsidR="0037767B" w:rsidRPr="0037619B">
              <w:rPr>
                <w:rFonts w:ascii="GHEA Grapalat" w:hAnsi="GHEA Grapalat"/>
                <w:lang w:val="hy-AM"/>
              </w:rPr>
              <w:t xml:space="preserve"> </w:t>
            </w:r>
            <w:r w:rsidRPr="0037619B">
              <w:rPr>
                <w:rFonts w:ascii="GHEA Grapalat" w:hAnsi="GHEA Grapalat"/>
                <w:lang w:val="hy-AM"/>
              </w:rPr>
              <w:t xml:space="preserve">վարկային միջոցների մասով ավելացնել ընդամենը </w:t>
            </w:r>
            <w:r w:rsidR="0037767B">
              <w:rPr>
                <w:rFonts w:ascii="GHEA Grapalat" w:hAnsi="GHEA Grapalat"/>
              </w:rPr>
              <w:t>3.3</w:t>
            </w:r>
            <w:r w:rsidRPr="0037619B">
              <w:rPr>
                <w:rFonts w:ascii="GHEA Grapalat" w:hAnsi="GHEA Grapalat"/>
                <w:lang w:val="hy-AM"/>
              </w:rPr>
              <w:t xml:space="preserve"> մլրդ ՀՀ դրամով</w:t>
            </w:r>
            <w:r w:rsidR="0037767B">
              <w:rPr>
                <w:rFonts w:ascii="GHEA Grapalat" w:hAnsi="GHEA Grapalat"/>
                <w:lang w:val="en-US"/>
              </w:rPr>
              <w:t xml:space="preserve">,  </w:t>
            </w:r>
            <w:proofErr w:type="spellStart"/>
            <w:r w:rsidR="0037767B">
              <w:rPr>
                <w:rFonts w:ascii="GHEA Grapalat" w:hAnsi="GHEA Grapalat"/>
                <w:lang w:val="en-US"/>
              </w:rPr>
              <w:t>պակասեցնելով</w:t>
            </w:r>
            <w:proofErr w:type="spellEnd"/>
            <w:r w:rsidR="0037767B">
              <w:rPr>
                <w:rFonts w:ascii="GHEA Grapalat" w:hAnsi="GHEA Grapalat"/>
                <w:lang w:val="en-US"/>
              </w:rPr>
              <w:t xml:space="preserve"> «</w:t>
            </w:r>
            <w:r w:rsidR="0037767B" w:rsidRPr="0037767B">
              <w:rPr>
                <w:rFonts w:ascii="GHEA Grapalat" w:hAnsi="GHEA Grapalat"/>
                <w:lang w:val="en-US"/>
              </w:rPr>
              <w:t xml:space="preserve">1189 12001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Ասիական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բանկի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աջակցությամբ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իրականացվող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դպրոցների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սեյսմիկ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ծրագրի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շրջանակներում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դպրոցների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սեյսմիկ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բարելավմանն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ուղղված</w:t>
            </w:r>
            <w:proofErr w:type="spellEnd"/>
            <w:r w:rsidR="0037767B" w:rsidRPr="0037767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7767B" w:rsidRPr="0037767B">
              <w:rPr>
                <w:rFonts w:ascii="GHEA Grapalat" w:hAnsi="GHEA Grapalat"/>
                <w:lang w:val="en-US"/>
              </w:rPr>
              <w:t>միջոցառումներ</w:t>
            </w:r>
            <w:proofErr w:type="spellEnd"/>
            <w:r w:rsidR="0037767B">
              <w:rPr>
                <w:rFonts w:ascii="GHEA Grapalat" w:hAnsi="GHEA Grapalat"/>
                <w:lang w:val="en-US"/>
              </w:rPr>
              <w:t xml:space="preserve">»  </w:t>
            </w:r>
            <w:proofErr w:type="spellStart"/>
            <w:r w:rsidR="0037767B">
              <w:rPr>
                <w:rFonts w:ascii="GHEA Grapalat" w:hAnsi="GHEA Grapalat"/>
                <w:lang w:val="en-US"/>
              </w:rPr>
              <w:t>միջոցառման</w:t>
            </w:r>
            <w:proofErr w:type="spellEnd"/>
            <w:r w:rsidR="0037767B">
              <w:rPr>
                <w:rFonts w:ascii="GHEA Grapalat" w:hAnsi="GHEA Grapalat"/>
                <w:lang w:val="en-US"/>
              </w:rPr>
              <w:t xml:space="preserve"> </w:t>
            </w:r>
            <w:r w:rsidR="0037767B" w:rsidRPr="0037619B">
              <w:rPr>
                <w:rFonts w:ascii="GHEA Grapalat" w:hAnsi="GHEA Grapalat"/>
                <w:lang w:val="hy-AM"/>
              </w:rPr>
              <w:t xml:space="preserve"> հատկացումներ</w:t>
            </w:r>
            <w:r w:rsidR="0037767B">
              <w:rPr>
                <w:rFonts w:ascii="GHEA Grapalat" w:hAnsi="GHEA Grapalat"/>
                <w:lang w:val="en-US"/>
              </w:rPr>
              <w:t>ը`</w:t>
            </w:r>
            <w:r w:rsidR="0037767B" w:rsidRPr="0037619B">
              <w:rPr>
                <w:rFonts w:ascii="GHEA Grapalat" w:hAnsi="GHEA Grapalat"/>
                <w:lang w:val="hy-AM"/>
              </w:rPr>
              <w:t xml:space="preserve"> վարկային միջոցների մասով</w:t>
            </w:r>
            <w:r w:rsidR="0037767B">
              <w:rPr>
                <w:rFonts w:ascii="GHEA Grapalat" w:hAnsi="GHEA Grapalat"/>
                <w:lang w:val="en-US"/>
              </w:rPr>
              <w:t>,</w:t>
            </w:r>
            <w:r w:rsidR="0037767B" w:rsidRPr="0037619B">
              <w:rPr>
                <w:rFonts w:ascii="GHEA Grapalat" w:hAnsi="GHEA Grapalat"/>
                <w:lang w:val="hy-AM"/>
              </w:rPr>
              <w:t xml:space="preserve"> </w:t>
            </w:r>
            <w:r w:rsidRPr="0037619B">
              <w:rPr>
                <w:rFonts w:ascii="GHEA Grapalat" w:hAnsi="GHEA Grapalat"/>
                <w:lang w:val="hy-AM"/>
              </w:rPr>
              <w:t>և կատարել համապատասխան փոփոխություններ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մասին N 1515-Ն որոշման համապատասխան հավելվածներում</w:t>
            </w:r>
            <w:r w:rsidR="00A0568B">
              <w:rPr>
                <w:rFonts w:ascii="GHEA Grapalat" w:hAnsi="GHEA Grapalat"/>
                <w:lang w:val="hy-AM"/>
              </w:rPr>
              <w:t>՝</w:t>
            </w:r>
            <w:r w:rsidR="001A2B67">
              <w:rPr>
                <w:rFonts w:ascii="GHEA Grapalat" w:hAnsi="GHEA Grapalat"/>
                <w:lang w:val="hy-AM"/>
              </w:rPr>
              <w:t xml:space="preserve"> համաձայն կից Հավելվածների</w:t>
            </w:r>
            <w:r w:rsidRPr="0037619B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0C0767" w:rsidRPr="0075287C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lastRenderedPageBreak/>
              <w:t>3.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0C0767" w:rsidRPr="0075287C" w:rsidTr="00B851D3">
        <w:trPr>
          <w:trHeight w:val="7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75287C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75287C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0C0767" w:rsidRPr="0075287C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Կարգավորման նպատակը և բնույթը</w:t>
            </w:r>
          </w:p>
        </w:tc>
      </w:tr>
      <w:tr w:rsidR="000C0767" w:rsidRPr="00A27B16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7B16" w:rsidRDefault="00A27B16" w:rsidP="0037767B">
            <w:pPr>
              <w:spacing w:line="276" w:lineRule="auto"/>
              <w:ind w:firstLine="360"/>
              <w:jc w:val="both"/>
              <w:rPr>
                <w:rFonts w:ascii="GHEA Grapalat" w:eastAsia="Calibri" w:hAnsi="GHEA Grapalat" w:cs="Sylfaen"/>
              </w:rPr>
            </w:pPr>
            <w:r>
              <w:rPr>
                <w:rFonts w:ascii="GHEA Grapalat" w:hAnsi="GHEA Grapalat"/>
                <w:lang w:val="hy-AM"/>
              </w:rPr>
              <w:t>Վ</w:t>
            </w:r>
            <w:r w:rsidRPr="0037619B">
              <w:rPr>
                <w:rFonts w:ascii="GHEA Grapalat" w:hAnsi="GHEA Grapalat"/>
                <w:lang w:val="hy-AM"/>
              </w:rPr>
              <w:t>արկային միջոցների մասով հատկացումներ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37619B">
              <w:rPr>
                <w:rFonts w:ascii="GHEA Grapalat" w:hAnsi="GHEA Grapalat"/>
                <w:lang w:val="hy-AM"/>
              </w:rPr>
              <w:t xml:space="preserve"> ավելաց</w:t>
            </w:r>
            <w:r>
              <w:rPr>
                <w:rFonts w:ascii="GHEA Grapalat" w:hAnsi="GHEA Grapalat"/>
                <w:lang w:val="hy-AM"/>
              </w:rPr>
              <w:t>ում</w:t>
            </w:r>
            <w:r w:rsidRPr="0037619B">
              <w:rPr>
                <w:rFonts w:ascii="GHEA Grapalat" w:hAnsi="GHEA Grapalat"/>
                <w:lang w:val="hy-AM"/>
              </w:rPr>
              <w:t xml:space="preserve"> ընդամենը </w:t>
            </w:r>
            <w:r w:rsidR="0037767B">
              <w:rPr>
                <w:rFonts w:ascii="GHEA Grapalat" w:hAnsi="GHEA Grapalat"/>
                <w:lang w:val="en-US"/>
              </w:rPr>
              <w:t>3.3</w:t>
            </w:r>
            <w:r w:rsidRPr="0037619B">
              <w:rPr>
                <w:rFonts w:ascii="GHEA Grapalat" w:hAnsi="GHEA Grapalat"/>
                <w:lang w:val="hy-AM"/>
              </w:rPr>
              <w:t xml:space="preserve"> մլրդ ՀՀ դրամի չափով</w:t>
            </w:r>
            <w:r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0C0767" w:rsidRPr="0075287C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5.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0C0767" w:rsidRPr="0075287C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67" w:rsidRPr="001A2B67" w:rsidRDefault="00CC40AD" w:rsidP="000C780A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ED1018">
              <w:rPr>
                <w:rFonts w:ascii="GHEA Grapalat" w:hAnsi="GHEA Grapalat"/>
                <w:lang w:val="hy-AM"/>
              </w:rPr>
              <w:t xml:space="preserve">ՀՀ տարածքային կառավարման և </w:t>
            </w:r>
            <w:r w:rsidR="000C780A">
              <w:rPr>
                <w:rFonts w:ascii="GHEA Grapalat" w:hAnsi="GHEA Grapalat"/>
                <w:lang w:val="hy-AM"/>
              </w:rPr>
              <w:t>ե</w:t>
            </w:r>
            <w:r w:rsidRPr="00ED1018">
              <w:rPr>
                <w:rFonts w:ascii="GHEA Grapalat" w:hAnsi="GHEA Grapalat"/>
                <w:lang w:val="hy-AM"/>
              </w:rPr>
              <w:t>ն</w:t>
            </w:r>
            <w:r w:rsidR="000C780A">
              <w:rPr>
                <w:rFonts w:ascii="GHEA Grapalat" w:hAnsi="GHEA Grapalat"/>
                <w:lang w:val="hy-AM"/>
              </w:rPr>
              <w:t>թակառուցվածքների</w:t>
            </w:r>
            <w:r w:rsidRPr="00ED1018">
              <w:rPr>
                <w:rFonts w:ascii="GHEA Grapalat" w:hAnsi="GHEA Grapalat"/>
                <w:lang w:val="hy-AM"/>
              </w:rPr>
              <w:t xml:space="preserve"> նախարարություն,</w:t>
            </w:r>
            <w:r w:rsidR="001A2B67">
              <w:rPr>
                <w:rFonts w:ascii="GHEA Grapalat" w:hAnsi="GHEA Grapalat"/>
                <w:lang w:val="hy-AM"/>
              </w:rPr>
              <w:t xml:space="preserve"> </w:t>
            </w:r>
            <w:r w:rsidR="001A2B67" w:rsidRPr="001A2B67">
              <w:rPr>
                <w:rFonts w:ascii="GHEA Grapalat" w:hAnsi="GHEA Grapalat"/>
                <w:lang w:val="hy-AM"/>
              </w:rPr>
              <w:t xml:space="preserve"> </w:t>
            </w:r>
            <w:r w:rsidR="000C780A">
              <w:rPr>
                <w:rFonts w:ascii="GHEA Grapalat" w:hAnsi="GHEA Grapalat"/>
                <w:lang w:val="hy-AM"/>
              </w:rPr>
              <w:t>Երևանի քաղաքապետարան</w:t>
            </w:r>
            <w:r w:rsidR="001A2B67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0C0767" w:rsidRPr="0075287C" w:rsidTr="00B851D3">
        <w:trPr>
          <w:trHeight w:val="1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Ակնկալվող արդյունքը</w:t>
            </w:r>
          </w:p>
        </w:tc>
      </w:tr>
      <w:tr w:rsidR="000C0767" w:rsidRPr="002711BA" w:rsidTr="00B851D3">
        <w:trPr>
          <w:trHeight w:val="10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767" w:rsidRPr="00240CFF" w:rsidRDefault="00DC410F" w:rsidP="00ED1018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</w:t>
            </w:r>
            <w:r w:rsidR="002711BA" w:rsidRPr="00525043">
              <w:rPr>
                <w:rFonts w:ascii="GHEA Grapalat" w:hAnsi="GHEA Grapalat"/>
                <w:lang w:val="hy-AM"/>
              </w:rPr>
              <w:t xml:space="preserve">ինարարական աշխատանքների դիմաց </w:t>
            </w:r>
            <w:r>
              <w:rPr>
                <w:rFonts w:ascii="GHEA Grapalat" w:hAnsi="GHEA Grapalat"/>
                <w:lang w:val="hy-AM"/>
              </w:rPr>
              <w:t xml:space="preserve">պայմանագրով նախատեսված </w:t>
            </w:r>
            <w:r w:rsidR="002711BA" w:rsidRPr="00525043">
              <w:rPr>
                <w:rFonts w:ascii="GHEA Grapalat" w:hAnsi="GHEA Grapalat"/>
                <w:lang w:val="hy-AM"/>
              </w:rPr>
              <w:t>վճարային պարտավորություններ</w:t>
            </w:r>
            <w:r>
              <w:rPr>
                <w:rFonts w:ascii="GHEA Grapalat" w:hAnsi="GHEA Grapalat"/>
                <w:lang w:val="hy-AM"/>
              </w:rPr>
              <w:t>ի ապահովում</w:t>
            </w:r>
            <w:r w:rsidR="002711BA" w:rsidRPr="00525043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0C0767" w:rsidRPr="005B1E8E" w:rsidTr="00B851D3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7.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55" w:rsidRPr="00B851D3" w:rsidRDefault="000C0767" w:rsidP="00B851D3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Այլ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տեղեկություններ</w:t>
            </w:r>
            <w:proofErr w:type="spellEnd"/>
          </w:p>
        </w:tc>
      </w:tr>
      <w:tr w:rsidR="00B851D3" w:rsidRPr="005B1E8E" w:rsidTr="00B851D3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1D3" w:rsidRPr="0075287C" w:rsidRDefault="00B851D3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</w:p>
        </w:tc>
        <w:tc>
          <w:tcPr>
            <w:tcW w:w="10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1D3" w:rsidRPr="0075287C" w:rsidRDefault="00B851D3" w:rsidP="00B851D3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</w:p>
        </w:tc>
      </w:tr>
      <w:tr w:rsidR="000C0767" w:rsidRPr="00A0568B" w:rsidTr="00B851D3">
        <w:trPr>
          <w:trHeight w:val="9226"/>
        </w:trPr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939" w:rsidRPr="005B1E8E" w:rsidRDefault="00595939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</w:pPr>
          </w:p>
          <w:p w:rsidR="00A40B42" w:rsidRDefault="00A40B42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D0D18" w:rsidRPr="00A40B42" w:rsidRDefault="00AD0D18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4312BC" w:rsidRDefault="00A40B42" w:rsidP="004312BC">
            <w:pPr>
              <w:pStyle w:val="dec-name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Հայաստանի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Հանրապետության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201</w:t>
            </w:r>
            <w:r w:rsidR="00AD0D18">
              <w:rPr>
                <w:rFonts w:ascii="GHEA Grapalat" w:hAnsi="GHEA Grapalat"/>
                <w:b/>
                <w:lang w:val="hy-AM"/>
              </w:rPr>
              <w:t>9</w:t>
            </w:r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թվականի</w:t>
            </w:r>
            <w:proofErr w:type="spellEnd"/>
            <w:r w:rsidR="00AD0D18">
              <w:rPr>
                <w:rFonts w:ascii="GHEA Grapalat" w:hAnsi="GHEA Grapalat"/>
                <w:b/>
                <w:lang w:val="hy-AM"/>
              </w:rPr>
              <w:t xml:space="preserve"> պետական բյուջեում վերաբաշխում,</w:t>
            </w:r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Հայաստանի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Հանրապետության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կառավարության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2018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թվականի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դեկտեմբերի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27-ի N 1515-Ն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որոշման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մեջ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փոփոխություններ</w:t>
            </w:r>
            <w:proofErr w:type="spellEnd"/>
            <w:r w:rsidR="00AD0D18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կատարելու</w:t>
            </w:r>
            <w:proofErr w:type="spellEnd"/>
            <w:r w:rsidR="00AD0D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="00AD0D18">
              <w:rPr>
                <w:rFonts w:ascii="GHEA Grapalat" w:hAnsi="GHEA Grapalat"/>
                <w:b/>
                <w:lang w:val="af-ZA"/>
              </w:rPr>
              <w:t>մասին</w:t>
            </w:r>
            <w:proofErr w:type="spellEnd"/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  ՀՀ կառավարության որոշման նախագծի ընդունման կապակցությամբ այլ իրավական ակտերում փոփոխություններ կատարելու անհրաժեշտության մասին</w:t>
            </w:r>
          </w:p>
          <w:p w:rsidR="000C0767" w:rsidRPr="00A40B42" w:rsidRDefault="000C0767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413109" w:rsidRPr="00EF37C3" w:rsidRDefault="00337CEF" w:rsidP="00173A0B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        </w:t>
            </w:r>
            <w:r w:rsidR="00413109" w:rsidRPr="00EF37C3">
              <w:rPr>
                <w:rFonts w:ascii="GHEA Grapalat" w:eastAsia="Calibri" w:hAnsi="GHEA Grapalat"/>
                <w:lang w:val="hy-AM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  <w:p w:rsidR="00A40B42" w:rsidRPr="0020729F" w:rsidRDefault="00A40B42" w:rsidP="00173A0B">
            <w:p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  <w:p w:rsidR="009222AA" w:rsidRPr="00351BF5" w:rsidRDefault="009222AA" w:rsidP="00173A0B">
            <w:pPr>
              <w:spacing w:after="12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spacing w:after="12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EF37C3" w:rsidRDefault="00AD0D18" w:rsidP="00173A0B">
            <w:pPr>
              <w:spacing w:after="20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201</w:t>
            </w:r>
            <w:r>
              <w:rPr>
                <w:rFonts w:ascii="GHEA Grapalat" w:hAnsi="GHEA Grapalat"/>
                <w:b/>
                <w:lang w:val="hy-AM"/>
              </w:rPr>
              <w:t>9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/>
                <w:b/>
                <w:lang w:val="hy-AM"/>
              </w:rPr>
              <w:t xml:space="preserve"> պետական բյուջեում վերաբաշխում,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դեկտեմբերի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27-ի N 1515-Ն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մեջ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կատարելու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af-ZA"/>
              </w:rPr>
              <w:t>մասին</w:t>
            </w:r>
            <w:proofErr w:type="spellEnd"/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</w:t>
            </w:r>
            <w:r w:rsidR="00C246ED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ՀՀ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կառավարության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որոշման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նախագծի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ընդունման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կապակցությամբ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պետական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տեղական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bookmarkStart w:id="0" w:name="_GoBack"/>
            <w:bookmarkEnd w:id="0"/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ինքնակառավարման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մարմնի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բյուջեում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ծախսերի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և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եկամուտների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էական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ավելացման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նվազեցման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բացակայության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մասին</w:t>
            </w:r>
          </w:p>
          <w:p w:rsidR="00F56841" w:rsidRDefault="0020729F" w:rsidP="00240CFF">
            <w:pPr>
              <w:spacing w:after="200" w:line="276" w:lineRule="auto"/>
              <w:jc w:val="both"/>
              <w:rPr>
                <w:rFonts w:ascii="GHEA Grapalat" w:eastAsia="Calibri" w:hAnsi="GHEA Grapalat"/>
                <w:bCs/>
                <w:lang w:val="hy-AM"/>
              </w:rPr>
            </w:pPr>
            <w:r w:rsidRPr="0020729F">
              <w:rPr>
                <w:rFonts w:ascii="GHEA Grapalat" w:eastAsia="Calibri" w:hAnsi="GHEA Grapalat"/>
                <w:bCs/>
                <w:lang w:val="hy-AM"/>
              </w:rPr>
              <w:t xml:space="preserve">          </w:t>
            </w:r>
            <w:r w:rsidR="004312BC" w:rsidRPr="004312B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ՀՀ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նախագծի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ընդունման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կապակցությամբ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պետական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տեղական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ինքնակառավարման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մարմնի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բյուջեում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ծախսերի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և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եկամուտների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էական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ավելացում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նվազեցում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չի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սպասվում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>:</w:t>
            </w:r>
          </w:p>
          <w:p w:rsidR="00B851D3" w:rsidRDefault="00B851D3" w:rsidP="00240CFF">
            <w:pPr>
              <w:spacing w:after="200" w:line="276" w:lineRule="auto"/>
              <w:jc w:val="both"/>
              <w:rPr>
                <w:rFonts w:ascii="GHEA Grapalat" w:eastAsia="Calibri" w:hAnsi="GHEA Grapalat"/>
                <w:bCs/>
                <w:lang w:val="hy-AM"/>
              </w:rPr>
            </w:pPr>
          </w:p>
          <w:p w:rsidR="00B851D3" w:rsidRDefault="00B851D3" w:rsidP="00240CFF">
            <w:pPr>
              <w:spacing w:after="200" w:line="276" w:lineRule="auto"/>
              <w:jc w:val="both"/>
              <w:rPr>
                <w:rFonts w:ascii="GHEA Grapalat" w:eastAsia="Calibri" w:hAnsi="GHEA Grapalat"/>
                <w:bCs/>
                <w:lang w:val="hy-AM"/>
              </w:rPr>
            </w:pPr>
          </w:p>
          <w:p w:rsidR="00B851D3" w:rsidRPr="00F56841" w:rsidRDefault="00B851D3" w:rsidP="00240CFF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</w:tc>
      </w:tr>
    </w:tbl>
    <w:p w:rsidR="005E76AB" w:rsidRPr="00351BF5" w:rsidRDefault="005E76AB" w:rsidP="005E76AB">
      <w:pPr>
        <w:pStyle w:val="z-BottomofForm"/>
        <w:rPr>
          <w:lang w:val="hy-AM"/>
        </w:rPr>
      </w:pPr>
    </w:p>
    <w:sectPr w:rsidR="005E76AB" w:rsidRPr="00351BF5" w:rsidSect="00B851D3">
      <w:headerReference w:type="first" r:id="rId7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23" w:rsidRDefault="00C80323" w:rsidP="001C4AAB">
      <w:r>
        <w:separator/>
      </w:r>
    </w:p>
  </w:endnote>
  <w:endnote w:type="continuationSeparator" w:id="0">
    <w:p w:rsidR="00C80323" w:rsidRDefault="00C80323" w:rsidP="001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23" w:rsidRDefault="00C80323" w:rsidP="001C4AAB">
      <w:r>
        <w:separator/>
      </w:r>
    </w:p>
  </w:footnote>
  <w:footnote w:type="continuationSeparator" w:id="0">
    <w:p w:rsidR="00C80323" w:rsidRDefault="00C80323" w:rsidP="001C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037DE"/>
    <w:rsid w:val="00012064"/>
    <w:rsid w:val="00016DE6"/>
    <w:rsid w:val="00017962"/>
    <w:rsid w:val="0002642B"/>
    <w:rsid w:val="0002767D"/>
    <w:rsid w:val="00034AD5"/>
    <w:rsid w:val="00070F85"/>
    <w:rsid w:val="000806FE"/>
    <w:rsid w:val="000814BC"/>
    <w:rsid w:val="00084D95"/>
    <w:rsid w:val="000868CD"/>
    <w:rsid w:val="00092A45"/>
    <w:rsid w:val="000C0767"/>
    <w:rsid w:val="000C3379"/>
    <w:rsid w:val="000C780A"/>
    <w:rsid w:val="000E23A0"/>
    <w:rsid w:val="000E28C3"/>
    <w:rsid w:val="000F1CAB"/>
    <w:rsid w:val="00115161"/>
    <w:rsid w:val="001179A3"/>
    <w:rsid w:val="00134AB9"/>
    <w:rsid w:val="00146A65"/>
    <w:rsid w:val="001501B4"/>
    <w:rsid w:val="00151869"/>
    <w:rsid w:val="00152337"/>
    <w:rsid w:val="00153FE0"/>
    <w:rsid w:val="00173A0B"/>
    <w:rsid w:val="001743B9"/>
    <w:rsid w:val="001A2B67"/>
    <w:rsid w:val="001A56FC"/>
    <w:rsid w:val="001B47BF"/>
    <w:rsid w:val="001B6611"/>
    <w:rsid w:val="001B7AC0"/>
    <w:rsid w:val="001C4AAB"/>
    <w:rsid w:val="001E03E5"/>
    <w:rsid w:val="001E506E"/>
    <w:rsid w:val="00203147"/>
    <w:rsid w:val="0020729F"/>
    <w:rsid w:val="002154B4"/>
    <w:rsid w:val="00231940"/>
    <w:rsid w:val="0023263F"/>
    <w:rsid w:val="00240CFF"/>
    <w:rsid w:val="00242438"/>
    <w:rsid w:val="00250E3B"/>
    <w:rsid w:val="002526CD"/>
    <w:rsid w:val="002711BA"/>
    <w:rsid w:val="00276CFE"/>
    <w:rsid w:val="00285464"/>
    <w:rsid w:val="00292675"/>
    <w:rsid w:val="002947F1"/>
    <w:rsid w:val="002B350E"/>
    <w:rsid w:val="002B7CFC"/>
    <w:rsid w:val="002E19EE"/>
    <w:rsid w:val="0030043A"/>
    <w:rsid w:val="00301CA1"/>
    <w:rsid w:val="0030473E"/>
    <w:rsid w:val="00307BA3"/>
    <w:rsid w:val="00337CEF"/>
    <w:rsid w:val="00341290"/>
    <w:rsid w:val="00342F7E"/>
    <w:rsid w:val="003501F0"/>
    <w:rsid w:val="00351BF5"/>
    <w:rsid w:val="0037619B"/>
    <w:rsid w:val="0037767B"/>
    <w:rsid w:val="00381A0D"/>
    <w:rsid w:val="003A435E"/>
    <w:rsid w:val="003B23AD"/>
    <w:rsid w:val="003C1C3D"/>
    <w:rsid w:val="003D1C6A"/>
    <w:rsid w:val="003D2270"/>
    <w:rsid w:val="003D5AB6"/>
    <w:rsid w:val="00410769"/>
    <w:rsid w:val="00413109"/>
    <w:rsid w:val="00414032"/>
    <w:rsid w:val="004312BC"/>
    <w:rsid w:val="00435724"/>
    <w:rsid w:val="00435FEF"/>
    <w:rsid w:val="00451519"/>
    <w:rsid w:val="00451B0E"/>
    <w:rsid w:val="00467116"/>
    <w:rsid w:val="00486174"/>
    <w:rsid w:val="00494412"/>
    <w:rsid w:val="004A0AB6"/>
    <w:rsid w:val="004B30C8"/>
    <w:rsid w:val="004C1826"/>
    <w:rsid w:val="004C2962"/>
    <w:rsid w:val="004F27E1"/>
    <w:rsid w:val="00506839"/>
    <w:rsid w:val="00510713"/>
    <w:rsid w:val="00523C7F"/>
    <w:rsid w:val="00525043"/>
    <w:rsid w:val="005413AC"/>
    <w:rsid w:val="00546DAA"/>
    <w:rsid w:val="0057057D"/>
    <w:rsid w:val="00572C67"/>
    <w:rsid w:val="00592B90"/>
    <w:rsid w:val="00595939"/>
    <w:rsid w:val="00597F6A"/>
    <w:rsid w:val="005A123B"/>
    <w:rsid w:val="005B1A17"/>
    <w:rsid w:val="005B1E8E"/>
    <w:rsid w:val="005C74CA"/>
    <w:rsid w:val="005D16B8"/>
    <w:rsid w:val="005D2E14"/>
    <w:rsid w:val="005E76AB"/>
    <w:rsid w:val="005E7A9E"/>
    <w:rsid w:val="00600073"/>
    <w:rsid w:val="00614DEE"/>
    <w:rsid w:val="00621545"/>
    <w:rsid w:val="0062615E"/>
    <w:rsid w:val="00631619"/>
    <w:rsid w:val="00634FC2"/>
    <w:rsid w:val="006429F5"/>
    <w:rsid w:val="00653306"/>
    <w:rsid w:val="00663F88"/>
    <w:rsid w:val="006652D8"/>
    <w:rsid w:val="0067617B"/>
    <w:rsid w:val="006956F1"/>
    <w:rsid w:val="006A5667"/>
    <w:rsid w:val="006B0E49"/>
    <w:rsid w:val="006C357A"/>
    <w:rsid w:val="006C7AEA"/>
    <w:rsid w:val="006D3731"/>
    <w:rsid w:val="006E24F8"/>
    <w:rsid w:val="006F2790"/>
    <w:rsid w:val="00725375"/>
    <w:rsid w:val="007267E3"/>
    <w:rsid w:val="0074017E"/>
    <w:rsid w:val="007436B5"/>
    <w:rsid w:val="007474B6"/>
    <w:rsid w:val="007539BA"/>
    <w:rsid w:val="007662C8"/>
    <w:rsid w:val="00782E52"/>
    <w:rsid w:val="00792B5E"/>
    <w:rsid w:val="0079336A"/>
    <w:rsid w:val="00797A22"/>
    <w:rsid w:val="007B0349"/>
    <w:rsid w:val="007C0D59"/>
    <w:rsid w:val="007C4AA2"/>
    <w:rsid w:val="007E392D"/>
    <w:rsid w:val="007E5BA6"/>
    <w:rsid w:val="007E6617"/>
    <w:rsid w:val="0080471E"/>
    <w:rsid w:val="00804C8E"/>
    <w:rsid w:val="0084606C"/>
    <w:rsid w:val="00856B36"/>
    <w:rsid w:val="0085791A"/>
    <w:rsid w:val="00864D1B"/>
    <w:rsid w:val="0089263D"/>
    <w:rsid w:val="008F5E48"/>
    <w:rsid w:val="008F6B83"/>
    <w:rsid w:val="0091104A"/>
    <w:rsid w:val="00920C23"/>
    <w:rsid w:val="009222AA"/>
    <w:rsid w:val="00923517"/>
    <w:rsid w:val="00947955"/>
    <w:rsid w:val="009515D7"/>
    <w:rsid w:val="009717DF"/>
    <w:rsid w:val="009900EA"/>
    <w:rsid w:val="009C1AB9"/>
    <w:rsid w:val="009C22E3"/>
    <w:rsid w:val="009D7335"/>
    <w:rsid w:val="009E5717"/>
    <w:rsid w:val="00A0568B"/>
    <w:rsid w:val="00A16B2E"/>
    <w:rsid w:val="00A23805"/>
    <w:rsid w:val="00A27294"/>
    <w:rsid w:val="00A27B16"/>
    <w:rsid w:val="00A300B2"/>
    <w:rsid w:val="00A34986"/>
    <w:rsid w:val="00A40B42"/>
    <w:rsid w:val="00A47734"/>
    <w:rsid w:val="00A63618"/>
    <w:rsid w:val="00A837FB"/>
    <w:rsid w:val="00A86354"/>
    <w:rsid w:val="00A9058C"/>
    <w:rsid w:val="00AB2829"/>
    <w:rsid w:val="00AD0D18"/>
    <w:rsid w:val="00AD2A43"/>
    <w:rsid w:val="00AE3E9D"/>
    <w:rsid w:val="00AF6C67"/>
    <w:rsid w:val="00B102DB"/>
    <w:rsid w:val="00B21034"/>
    <w:rsid w:val="00B34095"/>
    <w:rsid w:val="00B475E8"/>
    <w:rsid w:val="00B60145"/>
    <w:rsid w:val="00B800BA"/>
    <w:rsid w:val="00B83DD1"/>
    <w:rsid w:val="00B851D3"/>
    <w:rsid w:val="00B93A46"/>
    <w:rsid w:val="00B949DC"/>
    <w:rsid w:val="00BB3BD2"/>
    <w:rsid w:val="00BC1673"/>
    <w:rsid w:val="00BF2DFB"/>
    <w:rsid w:val="00C246ED"/>
    <w:rsid w:val="00C37E3C"/>
    <w:rsid w:val="00C40406"/>
    <w:rsid w:val="00C645C1"/>
    <w:rsid w:val="00C7479A"/>
    <w:rsid w:val="00C772D7"/>
    <w:rsid w:val="00C80323"/>
    <w:rsid w:val="00C83D08"/>
    <w:rsid w:val="00C90B8F"/>
    <w:rsid w:val="00CA1127"/>
    <w:rsid w:val="00CB3295"/>
    <w:rsid w:val="00CB724D"/>
    <w:rsid w:val="00CC1AD6"/>
    <w:rsid w:val="00CC40AD"/>
    <w:rsid w:val="00CD585D"/>
    <w:rsid w:val="00D0149A"/>
    <w:rsid w:val="00D0418D"/>
    <w:rsid w:val="00D2358D"/>
    <w:rsid w:val="00D540EB"/>
    <w:rsid w:val="00D67F8A"/>
    <w:rsid w:val="00D769D4"/>
    <w:rsid w:val="00D77619"/>
    <w:rsid w:val="00DB51D7"/>
    <w:rsid w:val="00DB7F8D"/>
    <w:rsid w:val="00DC410F"/>
    <w:rsid w:val="00DD3376"/>
    <w:rsid w:val="00DD53EF"/>
    <w:rsid w:val="00DD680A"/>
    <w:rsid w:val="00E12F3C"/>
    <w:rsid w:val="00E17695"/>
    <w:rsid w:val="00E206BB"/>
    <w:rsid w:val="00E21223"/>
    <w:rsid w:val="00E405CF"/>
    <w:rsid w:val="00E51AC1"/>
    <w:rsid w:val="00E54D08"/>
    <w:rsid w:val="00E6278A"/>
    <w:rsid w:val="00EB6362"/>
    <w:rsid w:val="00ED1018"/>
    <w:rsid w:val="00ED3205"/>
    <w:rsid w:val="00ED52D1"/>
    <w:rsid w:val="00EE3494"/>
    <w:rsid w:val="00EF37C3"/>
    <w:rsid w:val="00F202D7"/>
    <w:rsid w:val="00F321D6"/>
    <w:rsid w:val="00F33A36"/>
    <w:rsid w:val="00F413EC"/>
    <w:rsid w:val="00F479E6"/>
    <w:rsid w:val="00F56841"/>
    <w:rsid w:val="00F57E34"/>
    <w:rsid w:val="00F6121A"/>
    <w:rsid w:val="00F62A35"/>
    <w:rsid w:val="00F6461D"/>
    <w:rsid w:val="00F7119B"/>
    <w:rsid w:val="00F76246"/>
    <w:rsid w:val="00F83871"/>
    <w:rsid w:val="00F9431A"/>
    <w:rsid w:val="00F9631C"/>
    <w:rsid w:val="00F97953"/>
    <w:rsid w:val="00FB2395"/>
    <w:rsid w:val="00FB4407"/>
    <w:rsid w:val="00FD0DE9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BD45"/>
  <w15:docId w15:val="{F59C925A-7DD8-4703-95F8-85A42875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89BCD-08D9-4ECE-9989-095B0559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https://mul2.gov.am/tasks/109336/oneclick/Himnavorum.docx?token=5abe17eac4cd6e762e42b92c239d4af3</cp:keywords>
  <cp:lastModifiedBy>Ashot Pirumyan</cp:lastModifiedBy>
  <cp:revision>22</cp:revision>
  <dcterms:created xsi:type="dcterms:W3CDTF">2019-03-15T06:46:00Z</dcterms:created>
  <dcterms:modified xsi:type="dcterms:W3CDTF">2019-08-07T13:06:00Z</dcterms:modified>
</cp:coreProperties>
</file>