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4106A7" w:rsidRDefault="00FE1FCE" w:rsidP="004106A7">
      <w:pPr>
        <w:tabs>
          <w:tab w:val="left" w:pos="7560"/>
          <w:tab w:val="left" w:pos="7920"/>
          <w:tab w:val="left" w:pos="8280"/>
        </w:tabs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Pr="00037313" w:rsidRDefault="00D40A02" w:rsidP="004106A7">
      <w:pPr>
        <w:pStyle w:val="BodyTextIndent"/>
        <w:spacing w:before="120" w:after="120" w:line="20" w:lineRule="atLeast"/>
        <w:ind w:left="992" w:right="992" w:firstLine="0"/>
        <w:jc w:val="center"/>
        <w:rPr>
          <w:rFonts w:ascii="GHEA Grapalat" w:hAnsi="GHEA Grapalat"/>
          <w:b/>
          <w:szCs w:val="24"/>
        </w:rPr>
      </w:pPr>
      <w:r w:rsidRPr="00F611AB">
        <w:rPr>
          <w:rFonts w:cs="Arial"/>
          <w:color w:val="000000" w:themeColor="text1"/>
        </w:rPr>
        <w:tab/>
      </w:r>
      <w:r w:rsidRPr="00D40A02">
        <w:rPr>
          <w:rFonts w:ascii="GHEA Grapalat" w:hAnsi="GHEA Grapalat"/>
          <w:b/>
          <w:szCs w:val="24"/>
          <w:lang w:val="hy-AM"/>
        </w:rPr>
        <w:t>«Հայաստանի Հանրապետության 2019 թվականի պետական բյուջեի մասին» Հայաստանի Հանրապետության օրենքում վերաբաշխում և Հայաստանի Հանրապետության կառավա</w:t>
      </w:r>
      <w:r w:rsidRPr="00D40A02">
        <w:rPr>
          <w:rFonts w:ascii="GHEA Grapalat" w:hAnsi="GHEA Grapalat"/>
          <w:b/>
          <w:szCs w:val="24"/>
          <w:lang w:val="hy-AM"/>
        </w:rPr>
        <w:softHyphen/>
        <w:t xml:space="preserve">րության 2018 թվականի դեկտեմբերի 27-ի N 1515-Ն որոշման մեջ փոփոխություններ կատարելու մասին» </w:t>
      </w:r>
      <w:r w:rsidR="00691F5F" w:rsidRPr="00037313">
        <w:rPr>
          <w:rFonts w:ascii="GHEA Grapalat" w:hAnsi="GHEA Grapalat"/>
          <w:b/>
          <w:szCs w:val="24"/>
          <w:lang w:val="hy-AM"/>
        </w:rPr>
        <w:t>Հայաստանի Հանրապետության կառավարության որոշման նախագծի վերաբերյալ ստացված դիտողությունների և առաջարկությունների, դրանց ընդունման կամ չընդունման վերաբերյալ</w:t>
      </w:r>
    </w:p>
    <w:p w:rsidR="00FE1FCE" w:rsidRPr="00B76735" w:rsidRDefault="00FE1FCE" w:rsidP="00FE1FC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5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83"/>
        <w:gridCol w:w="4961"/>
        <w:gridCol w:w="5670"/>
        <w:gridCol w:w="2106"/>
      </w:tblGrid>
      <w:tr w:rsidR="00FE1FCE" w:rsidRPr="00B76735" w:rsidTr="00D40A02">
        <w:trPr>
          <w:trHeight w:val="1664"/>
        </w:trPr>
        <w:tc>
          <w:tcPr>
            <w:tcW w:w="2383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>¸</w:t>
            </w:r>
          </w:p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lang w:val="af-ZA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,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C67EA1">
              <w:rPr>
                <w:rFonts w:ascii="GHEA Grapalat" w:eastAsia="Times New Roman" w:hAnsi="GHEA Grapalat"/>
                <w:lang w:val="af-ZA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4961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5670" w:type="dxa"/>
          </w:tcPr>
          <w:p w:rsidR="00FE1FCE" w:rsidRPr="00C67EA1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2106" w:type="dxa"/>
          </w:tcPr>
          <w:p w:rsidR="00FE1FCE" w:rsidRPr="00C67EA1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</w:rPr>
            </w:pPr>
            <w:proofErr w:type="spellStart"/>
            <w:r w:rsidRPr="00C67EA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C67EA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C67EA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FE1FCE" w:rsidRPr="001D29A4" w:rsidTr="00D40A02">
        <w:trPr>
          <w:trHeight w:val="2425"/>
        </w:trPr>
        <w:tc>
          <w:tcPr>
            <w:tcW w:w="2383" w:type="dxa"/>
          </w:tcPr>
          <w:p w:rsidR="00FE1FCE" w:rsidRPr="00BB211A" w:rsidRDefault="00FE1FCE" w:rsidP="0003731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D40A0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 w:rsidRPr="00BB211A">
              <w:rPr>
                <w:rFonts w:ascii="GHEA Grapalat" w:eastAsia="Times New Roman" w:hAnsi="GHEA Grapalat" w:cs="Sylfaen"/>
                <w:sz w:val="20"/>
                <w:szCs w:val="20"/>
              </w:rPr>
              <w:t>. ՀՀ ֆինանսների նախարարություն,</w:t>
            </w:r>
          </w:p>
          <w:p w:rsidR="009B5FA4" w:rsidRPr="00BB211A" w:rsidRDefault="00D40A02" w:rsidP="0003731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BB211A">
              <w:rPr>
                <w:rFonts w:ascii="GHEA Grapalat" w:eastAsia="Times New Roman" w:hAnsi="GHEA Grapalat" w:cs="Sylfaen"/>
                <w:sz w:val="20"/>
                <w:szCs w:val="20"/>
              </w:rPr>
              <w:t>01/8-2/14461-2019</w:t>
            </w:r>
            <w:r w:rsidR="009B5FA4" w:rsidRPr="00BB211A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թ.</w:t>
            </w:r>
          </w:p>
          <w:p w:rsidR="00FE1FCE" w:rsidRPr="00D40A02" w:rsidRDefault="00D40A02" w:rsidP="00037313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BB211A">
              <w:rPr>
                <w:rFonts w:ascii="GHEA Grapalat" w:eastAsia="Times New Roman" w:hAnsi="GHEA Grapalat" w:cs="Sylfaen"/>
                <w:sz w:val="20"/>
                <w:szCs w:val="20"/>
              </w:rPr>
              <w:t>30.08</w:t>
            </w:r>
            <w:r w:rsidR="009B5FA4" w:rsidRPr="00BB211A"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="00037313" w:rsidRPr="00BB211A">
              <w:rPr>
                <w:rFonts w:ascii="GHEA Grapalat" w:eastAsia="Times New Roman" w:hAnsi="GHEA Grapalat" w:cs="Sylfaen"/>
                <w:sz w:val="20"/>
                <w:szCs w:val="20"/>
              </w:rPr>
              <w:t>2019</w:t>
            </w:r>
            <w:r w:rsidR="009A1B15" w:rsidRPr="00BB211A">
              <w:rPr>
                <w:rFonts w:ascii="GHEA Grapalat" w:eastAsia="Times New Roman" w:hAnsi="GHEA Grapalat" w:cs="Sylfaen"/>
                <w:sz w:val="20"/>
                <w:szCs w:val="20"/>
              </w:rPr>
              <w:t>թ.</w:t>
            </w:r>
            <w:r w:rsidR="009A1B15" w:rsidRPr="00D40A02"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:rsidR="00037313" w:rsidRPr="00D40A02" w:rsidRDefault="00037313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ՀՀ 2019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թվականի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իշխանության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մարմինների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վարձատրության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քաղաքականության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հարցում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կիրառվել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միասնական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սկզբունք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նախատեսվել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՝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պահպանման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ծախսերում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հաշվարկված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աշխատավարձի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գծով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30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տոկոսի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չափով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ներառյալ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քաղաքացիական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ծառայողների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գումարը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Ընդ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որում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նշված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եղանակով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հաշվարկված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գումարը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(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ներառյալ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՝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արտաբյուջետային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հաշվին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իրականացվող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միջոցառումների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գծով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Ուստի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Նախագծով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առաջարկվող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ծախսերի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վերաբաշխումը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գտնում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ենք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ոչ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նպատակահարմար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քանի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հակասում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2019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թվականի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բյուջեում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միասնական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քաղաքականությանը</w:t>
            </w:r>
            <w:proofErr w:type="spellEnd"/>
            <w:r w:rsidR="00D40A02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9B5FA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2.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Նախագծին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ներկայացված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N 2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հավելվածով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նվազեցնել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բյուջետային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ծախսերի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տնտեսագիտական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դասակարգման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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Համակարգչային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ծառայություններ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, 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Մեքենաների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սարքավորումների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ընթացիկ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նորոգում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պահպանում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 և 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Վարչական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սարքավորումներ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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հոդվածների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գծով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ծախսերը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ուստի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անհրաժեշտ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նախագծին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ներկայացնել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գնումների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պլանի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փոփոխություն</w:t>
            </w:r>
            <w:proofErr w:type="spellEnd"/>
          </w:p>
        </w:tc>
        <w:tc>
          <w:tcPr>
            <w:tcW w:w="5670" w:type="dxa"/>
          </w:tcPr>
          <w:p w:rsidR="00037313" w:rsidRDefault="00D40A02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Չի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ը</w:t>
            </w:r>
            <w:r w:rsidR="009B5FA4"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նդունվել</w:t>
            </w:r>
            <w:proofErr w:type="spellEnd"/>
            <w:r w:rsidR="009B5FA4"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քանի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«Հ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 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2019թ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.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մասին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» 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ՀՀ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9-րդ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հոդվածի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17-րդ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մասով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սահմանվել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թույլատրվում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յուրաքանչյուր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մարմնի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կողմից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իրականացվող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ծրագրերի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բյուջետային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արդյունավետ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օգտավետ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(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խնայողաբար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կառավարելու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արդյունքում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առաջացող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տնտեսումն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ուղղել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այդ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մարմնի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աշխատակիցների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պարգևատրմանը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՝ ի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հավելումն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օրենքներով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սահմանված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պայմանների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այդ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թվում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սահմանափակումների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Բացի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դրանից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«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պաշտոններ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ծառայության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պաշտոններ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զբաղեցնող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անձանց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վարձատրության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մասին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» ՀՀ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6-րդ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հոդվածի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6-րդ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կետի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համաձայն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պաշտոն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ծառայության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պաշտոն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զբաղեցնող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անձանց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պարգևատրումը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կարող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իրականացվել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9B36E5">
              <w:rPr>
                <w:rFonts w:ascii="GHEA Grapalat" w:eastAsia="Times New Roman" w:hAnsi="GHEA Grapalat" w:cs="Sylfaen"/>
                <w:sz w:val="20"/>
                <w:szCs w:val="20"/>
              </w:rPr>
              <w:t>ՀՀ</w:t>
            </w:r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պետական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բյուջեով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նախատեսված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աշխատավարձի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տնտեսված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տվյալ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>մարմնի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նյութական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խրախուսման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զարգացման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աշխատանքների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փորձարարական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կազմակերպման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օպտիմալացված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ինչպես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չարգելված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աղբյուրներից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Տվյալ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մարմնի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նյութական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խրախուսման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զարգացման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աշխատանքների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փորձարարական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կազմակերպման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համար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օպտիմալացված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ինչպես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նաև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օրենքով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չարգելված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այլ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աղբյուրներից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յուրաքանչյուրից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պարգևատրմանն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ուղղվող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միջոցները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չեն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կարող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գերազանցել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տվյալ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մարմնի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աշխատավարձի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տարեկան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ֆոնդի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30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տոկոսը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:</w:t>
            </w:r>
          </w:p>
          <w:p w:rsidR="00D40A02" w:rsidRDefault="00D40A02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9B36E5" w:rsidRDefault="009B36E5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9B36E5" w:rsidRDefault="009B36E5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Default="00D40A02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</w:p>
          <w:p w:rsidR="00D40A02" w:rsidRPr="00D40A02" w:rsidRDefault="00D40A02" w:rsidP="00D40A02">
            <w:pPr>
              <w:spacing w:after="120" w:line="240" w:lineRule="auto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2106" w:type="dxa"/>
          </w:tcPr>
          <w:p w:rsidR="00305CF7" w:rsidRPr="00D40A02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305CF7" w:rsidRPr="00D40A02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305CF7" w:rsidRPr="00D40A02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D40A02" w:rsidRPr="00D40A02" w:rsidRDefault="00D40A02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Կատարվել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փոփոխություն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2018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թվականի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դեկտեմբերի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27-ի N 1515-ն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որոշման</w:t>
            </w:r>
            <w:proofErr w:type="spellEnd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N 12 </w:t>
            </w:r>
            <w:proofErr w:type="spellStart"/>
            <w:r w:rsidRPr="00D40A02">
              <w:rPr>
                <w:rFonts w:ascii="GHEA Grapalat" w:eastAsia="Times New Roman" w:hAnsi="GHEA Grapalat" w:cs="Sylfaen"/>
                <w:sz w:val="20"/>
                <w:szCs w:val="20"/>
              </w:rPr>
              <w:t>հավելվածում</w:t>
            </w:r>
            <w:proofErr w:type="spellEnd"/>
          </w:p>
          <w:p w:rsidR="00305CF7" w:rsidRPr="00D40A02" w:rsidRDefault="00305CF7" w:rsidP="006F18F1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305CF7" w:rsidRPr="00D40A02" w:rsidRDefault="00305CF7" w:rsidP="00FD3EB9">
            <w:pPr>
              <w:spacing w:after="120" w:line="23" w:lineRule="atLeast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C85030" w:rsidRPr="00C67EA1" w:rsidRDefault="00C85030">
      <w:pPr>
        <w:rPr>
          <w:lang w:val="hy-AM"/>
        </w:rPr>
      </w:pPr>
    </w:p>
    <w:sectPr w:rsidR="00C85030" w:rsidRPr="00C67EA1" w:rsidSect="003C75EC">
      <w:footerReference w:type="default" r:id="rId7"/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FD4" w:rsidRDefault="00296FD4" w:rsidP="008E35C2">
      <w:pPr>
        <w:spacing w:after="0" w:line="240" w:lineRule="auto"/>
      </w:pPr>
      <w:r>
        <w:separator/>
      </w:r>
    </w:p>
  </w:endnote>
  <w:endnote w:type="continuationSeparator" w:id="0">
    <w:p w:rsidR="00296FD4" w:rsidRDefault="00296FD4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5C2" w:rsidRDefault="008E35C2">
    <w:pPr>
      <w:pStyle w:val="Footer"/>
      <w:jc w:val="center"/>
    </w:pPr>
  </w:p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FD4" w:rsidRDefault="00296FD4" w:rsidP="008E35C2">
      <w:pPr>
        <w:spacing w:after="0" w:line="240" w:lineRule="auto"/>
      </w:pPr>
      <w:r>
        <w:separator/>
      </w:r>
    </w:p>
  </w:footnote>
  <w:footnote w:type="continuationSeparator" w:id="0">
    <w:p w:rsidR="00296FD4" w:rsidRDefault="00296FD4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C161F"/>
    <w:multiLevelType w:val="hybridMultilevel"/>
    <w:tmpl w:val="0868DA62"/>
    <w:lvl w:ilvl="0" w:tplc="7AF225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063C8"/>
    <w:rsid w:val="0002245A"/>
    <w:rsid w:val="00037313"/>
    <w:rsid w:val="00040E9F"/>
    <w:rsid w:val="00042F3B"/>
    <w:rsid w:val="000952FE"/>
    <w:rsid w:val="000D65F1"/>
    <w:rsid w:val="00194312"/>
    <w:rsid w:val="001D29A4"/>
    <w:rsid w:val="001F54C2"/>
    <w:rsid w:val="0023641B"/>
    <w:rsid w:val="00296FD4"/>
    <w:rsid w:val="002F733D"/>
    <w:rsid w:val="00304C91"/>
    <w:rsid w:val="00305CF7"/>
    <w:rsid w:val="003346C8"/>
    <w:rsid w:val="003A0DBE"/>
    <w:rsid w:val="003A6359"/>
    <w:rsid w:val="003C75EC"/>
    <w:rsid w:val="004106A7"/>
    <w:rsid w:val="00520926"/>
    <w:rsid w:val="00555016"/>
    <w:rsid w:val="00560450"/>
    <w:rsid w:val="00565E81"/>
    <w:rsid w:val="005834EE"/>
    <w:rsid w:val="00595E3D"/>
    <w:rsid w:val="005D68AB"/>
    <w:rsid w:val="00621784"/>
    <w:rsid w:val="00691CE8"/>
    <w:rsid w:val="00691F5F"/>
    <w:rsid w:val="006D4B69"/>
    <w:rsid w:val="006E4C69"/>
    <w:rsid w:val="006F1647"/>
    <w:rsid w:val="006F18F1"/>
    <w:rsid w:val="007477AF"/>
    <w:rsid w:val="0078029B"/>
    <w:rsid w:val="007819B2"/>
    <w:rsid w:val="00782149"/>
    <w:rsid w:val="00795D4C"/>
    <w:rsid w:val="007C225F"/>
    <w:rsid w:val="007E2258"/>
    <w:rsid w:val="008D10E1"/>
    <w:rsid w:val="008E35C2"/>
    <w:rsid w:val="008E47CD"/>
    <w:rsid w:val="00905B0F"/>
    <w:rsid w:val="00922F12"/>
    <w:rsid w:val="0098574D"/>
    <w:rsid w:val="009A1B15"/>
    <w:rsid w:val="009A4F2B"/>
    <w:rsid w:val="009A5A20"/>
    <w:rsid w:val="009B36E5"/>
    <w:rsid w:val="009B5FA4"/>
    <w:rsid w:val="009D1A96"/>
    <w:rsid w:val="00A0406E"/>
    <w:rsid w:val="00A5133D"/>
    <w:rsid w:val="00A76B5F"/>
    <w:rsid w:val="00AB28D6"/>
    <w:rsid w:val="00AB4FA0"/>
    <w:rsid w:val="00B122E6"/>
    <w:rsid w:val="00B15CB6"/>
    <w:rsid w:val="00B62D7D"/>
    <w:rsid w:val="00B7228A"/>
    <w:rsid w:val="00B90F00"/>
    <w:rsid w:val="00BB211A"/>
    <w:rsid w:val="00BD233B"/>
    <w:rsid w:val="00C03DB0"/>
    <w:rsid w:val="00C63958"/>
    <w:rsid w:val="00C67EA1"/>
    <w:rsid w:val="00C80AF2"/>
    <w:rsid w:val="00C85030"/>
    <w:rsid w:val="00C96C08"/>
    <w:rsid w:val="00D05899"/>
    <w:rsid w:val="00D30FB0"/>
    <w:rsid w:val="00D40A02"/>
    <w:rsid w:val="00DB61CF"/>
    <w:rsid w:val="00DE4C77"/>
    <w:rsid w:val="00E23C18"/>
    <w:rsid w:val="00E325B2"/>
    <w:rsid w:val="00EB761C"/>
    <w:rsid w:val="00F33C84"/>
    <w:rsid w:val="00FB0D9D"/>
    <w:rsid w:val="00FD1D07"/>
    <w:rsid w:val="00FD3EB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  <w:style w:type="character" w:customStyle="1" w:styleId="mechtexChar">
    <w:name w:val="mechtex Char"/>
    <w:link w:val="mechtex"/>
    <w:locked/>
    <w:rsid w:val="00691F5F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691F5F"/>
    <w:pPr>
      <w:spacing w:after="0" w:line="240" w:lineRule="auto"/>
      <w:jc w:val="center"/>
    </w:pPr>
    <w:rPr>
      <w:rFonts w:ascii="Arial Armenian" w:eastAsiaTheme="minorHAnsi" w:hAnsi="Arial Armenian" w:cstheme="minorBidi"/>
      <w:szCs w:val="24"/>
      <w:lang w:eastAsia="ru-RU"/>
    </w:rPr>
  </w:style>
  <w:style w:type="character" w:styleId="Strong">
    <w:name w:val="Strong"/>
    <w:basedOn w:val="DefaultParagraphFont"/>
    <w:qFormat/>
    <w:rsid w:val="00691F5F"/>
    <w:rPr>
      <w:b/>
      <w:bCs/>
    </w:rPr>
  </w:style>
  <w:style w:type="paragraph" w:styleId="ListParagraph">
    <w:name w:val="List Paragraph"/>
    <w:basedOn w:val="Normal"/>
    <w:uiPriority w:val="34"/>
    <w:qFormat/>
    <w:rsid w:val="00905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lastModifiedBy>Z-Margaryan</cp:lastModifiedBy>
  <cp:revision>43</cp:revision>
  <cp:lastPrinted>2019-09-03T12:16:00Z</cp:lastPrinted>
  <dcterms:created xsi:type="dcterms:W3CDTF">2015-01-26T07:19:00Z</dcterms:created>
  <dcterms:modified xsi:type="dcterms:W3CDTF">2019-09-03T12:38:00Z</dcterms:modified>
  <cp:keywords>https://mul2.gov.am/tasks/122934/oneclick/ampopatert.docx?token=42314c41915e6a6f514a7161e6b3ebd1</cp:keywords>
</cp:coreProperties>
</file>