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99" w:rsidRDefault="00985003">
      <w:pPr>
        <w:pStyle w:val="headingtitleStyle"/>
      </w:pPr>
      <w:bookmarkStart w:id="0" w:name="_Toc1"/>
      <w:bookmarkStart w:id="1" w:name="_GoBack"/>
      <w:bookmarkEnd w:id="1"/>
      <w:r>
        <w:t>Ամփոփաթերթ</w:t>
      </w:r>
      <w:bookmarkEnd w:id="0"/>
    </w:p>
    <w:p w:rsidR="00640299" w:rsidRDefault="00985003">
      <w:pPr>
        <w:pStyle w:val="headingtitleStyle"/>
      </w:pPr>
      <w:bookmarkStart w:id="2" w:name="_Toc2"/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ԿԱՌԱՎԱՐՈՒԹՅԱՆ</w:t>
      </w:r>
      <w:r>
        <w:t xml:space="preserve"> 2018 </w:t>
      </w:r>
      <w:r>
        <w:t>ԹՎԱԿԱՆԻ</w:t>
      </w:r>
      <w:r>
        <w:t xml:space="preserve"> </w:t>
      </w:r>
      <w:r>
        <w:t>ԱՊՐԻԼԻ</w:t>
      </w:r>
      <w:r>
        <w:t xml:space="preserve"> 12-</w:t>
      </w:r>
      <w:r>
        <w:t>Ի</w:t>
      </w:r>
      <w:r>
        <w:t xml:space="preserve"> N 489-</w:t>
      </w:r>
      <w:r>
        <w:t>Ն</w:t>
      </w:r>
      <w:r>
        <w:t xml:space="preserve"> </w:t>
      </w:r>
      <w:r>
        <w:t>ՈՐՈՇՄԱՆ</w:t>
      </w:r>
      <w:r>
        <w:t xml:space="preserve"> </w:t>
      </w:r>
      <w:r>
        <w:t>ՄԵՋ</w:t>
      </w:r>
      <w:r>
        <w:t xml:space="preserve"> </w:t>
      </w:r>
      <w:r>
        <w:t>ՓՈՓՈԽՈՒԹՅՈՒՆՆԵՐ</w:t>
      </w:r>
      <w:r>
        <w:t xml:space="preserve"> </w:t>
      </w:r>
      <w:r>
        <w:t>ԵՎ</w:t>
      </w:r>
      <w:r>
        <w:t xml:space="preserve"> </w:t>
      </w:r>
      <w:r>
        <w:t>ԼՐԱՑՈՒՄՆԵՐ</w:t>
      </w:r>
      <w:r>
        <w:t xml:space="preserve"> </w:t>
      </w:r>
      <w:r>
        <w:t>ԿԱՏԱՐԵԼՈՒ</w:t>
      </w:r>
      <w:r>
        <w:t xml:space="preserve"> </w:t>
      </w:r>
      <w:r>
        <w:t>ՄԱՍԻՆ</w:t>
      </w:r>
      <w:r>
        <w:t xml:space="preserve"> </w:t>
      </w:r>
      <w:r>
        <w:t>նախագծի</w:t>
      </w:r>
      <w:r>
        <w:t xml:space="preserve"> </w:t>
      </w:r>
      <w:r>
        <w:t>վերաբերյալ</w:t>
      </w:r>
      <w:bookmarkEnd w:id="2"/>
    </w:p>
    <w:p w:rsidR="00640299" w:rsidRDefault="00640299"/>
    <w:p w:rsidR="00640299" w:rsidRDefault="00640299"/>
    <w:p w:rsidR="00640299" w:rsidRDefault="00640299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185"/>
        <w:gridCol w:w="4861"/>
        <w:gridCol w:w="3589"/>
        <w:gridCol w:w="2828"/>
      </w:tblGrid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0299" w:rsidRDefault="00640299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Սոֆիա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Գրիգորյան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29.05.2019 17:53:51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գնառաջարկ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ճանաչելու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առաջնորդվել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հաղթող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ընտրելիս՝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CIP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Երևան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մաքսազերծման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ներառյալ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ներկայացուցչություն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րծակալը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մաքսազերծումը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մատակարարումն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անմիջապես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պատվիրատուին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ներկայացուցչություններ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մաքսազերծումը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պատվիրատուն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ներկայացուցչություն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չունեց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ցածր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ճանաչվում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հաղթող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մաքսազերծման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վերջնական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գերազանցել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ներկայացուցչություն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եղծվում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նվազագույն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գնառաջարկ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ճանաչելու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անորոշություն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առաջնորդվել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հաղթող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ընտրելիս՝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CIP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Երևան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մաքսազերծման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ներառյալ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Ստեղծվում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անհավասար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ներկայացուցչությո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պարունակում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մրցույթի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ցածր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առավելագույն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գոյանում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ներմուծման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տեղափոխման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ծախսերի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հանրագումարից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ներկայացուցչություն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հաղթող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ճանաչելու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ներառում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հայտնվում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անհավասար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Առաջարկությունը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ՁԻԱՀ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կանխարգելման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30.05.2019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պարզաբանում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մասնակիցները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միաձայն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տեխնիկական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լուծվել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հետևաբար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կանոնակարգումը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Սոֆիա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Գրիգորյան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29.05.2019 17:13:49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դրամաշնորհի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հաշվարկման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բուֆերային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գերազանցել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Պատճառնե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դոլարի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պլանավորված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փոխարժեքների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բացասական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չնախատեսված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հաշվարկման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որոնք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առաջանալ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ՁԻԱՀ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կանխարգելման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30.05.2019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մասնակիցները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միաձայն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տեխնիկական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լուծվել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հետևաբար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կանոնակարգումը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Սոֆիա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Գրիգորյան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29.05.2019 17:12:28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ավելացնել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մրցույթ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նացնելու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դրույթ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գնումների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սահմանելուց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գործակալների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վավերականության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նչպես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երկարատև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արտադրողների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ենթարկվում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մրցույթի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գոյանում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տվյալ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անքի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ներմուծման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տեղափոխման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ծախսերի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հանրագումարից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փոխելուց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նախահաշվային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միջև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ստեղծում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անհավասար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կազմակերպությունների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ապրանքը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ձեռք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բերվում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արժեքով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տեղական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մրցույթի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Առաջարկությունը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ՁԻԱՀ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կանխարգելման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30.05.2019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մասնակիցները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միաձայն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տեխնիկական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լուծվել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հետևաբար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կանոնակարգումը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Գրիգորյան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29.05.2019 17:09:22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դրամաշնորհի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առավելագույն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տևողություն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հակառետրովիրուսային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դեղերի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անհրաժեշտ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քանակների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պլանավորման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առնվում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շարք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հանգամանքներ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տարբեր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մատակարարներից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չմատակարարված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դեղերի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քանակները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տալիս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հակառետրովիրուսային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բուժման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անընդհատությունը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բացառել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պիտանիության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պայմանավորված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դեղերի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նկալի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խոտանումները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կանխատեսել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վերահսկել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մասնավորապես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դրամաշնորհի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կախված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հետագա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մատակարարի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նքման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կատարման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Առաջարկությունը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ՁԻԱՀ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կանխարգելման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կենտրոնի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30.05.2019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առողջապահության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նախարարությունում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կազմակերպվել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մասնագետի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մասնակցությամբ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տրվել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ասխան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պարզաբանում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մասնակիցները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միաձայն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եզրակացրել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նշյալ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հարցերը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տեխնիկական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բնույթի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լուծվել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աշխատանքային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հետևաբար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կառավարության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որոշմամբ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կանոնակարգումը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նպատակահարմար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</w:tr>
      <w:tr w:rsidR="0064029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Հովհաննես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Մադոյան</w:t>
            </w:r>
          </w:p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14.05.2019 13:38:05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985003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Սուպեր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0299" w:rsidRDefault="00640299">
            <w:pPr>
              <w:jc w:val="center"/>
            </w:pPr>
          </w:p>
        </w:tc>
      </w:tr>
    </w:tbl>
    <w:p w:rsidR="00985003" w:rsidRDefault="00985003"/>
    <w:sectPr w:rsidR="00985003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99"/>
    <w:rsid w:val="00640299"/>
    <w:rsid w:val="0075368C"/>
    <w:rsid w:val="009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https://mul2.gov.am/tasks/118685/oneclick/Ampopatert-idraft.docx?token=fcd75a7f923e68dcc5c81e92ec5be3dd</cp:keywords>
</cp:coreProperties>
</file>