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1B" w:rsidRPr="00A760E2" w:rsidRDefault="004A1A1B" w:rsidP="004A1A1B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A760E2">
        <w:rPr>
          <w:rFonts w:ascii="GHEA Grapalat" w:hAnsi="GHEA Grapalat" w:cs="Sylfaen"/>
          <w:b/>
          <w:lang w:val="hy-AM"/>
        </w:rPr>
        <w:t>ՏԵՂԵԿԱՆՔ</w:t>
      </w:r>
    </w:p>
    <w:p w:rsidR="004A1A1B" w:rsidRPr="00A760E2" w:rsidRDefault="004A1A1B" w:rsidP="004A1A1B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A760E2">
        <w:rPr>
          <w:rFonts w:ascii="GHEA Grapalat" w:hAnsi="GHEA Grapalat"/>
          <w:b/>
          <w:lang w:val="hy-AM"/>
        </w:rPr>
        <w:t xml:space="preserve">           «Այվազյանն ընդդեմ Հայաստանի» գործով (թիվ </w:t>
      </w:r>
      <w:r w:rsidRPr="002E13AC">
        <w:rPr>
          <w:rFonts w:ascii="GHEA Grapalat" w:hAnsi="GHEA Grapalat"/>
          <w:b/>
          <w:color w:val="000000"/>
          <w:lang w:val="hy-AM"/>
        </w:rPr>
        <w:t>46245/08</w:t>
      </w:r>
      <w:r w:rsidRPr="00A760E2">
        <w:rPr>
          <w:rFonts w:ascii="GHEA Grapalat" w:hAnsi="GHEA Grapalat"/>
          <w:b/>
          <w:lang w:val="hy-AM"/>
        </w:rPr>
        <w:t xml:space="preserve"> գանգատ)</w:t>
      </w:r>
    </w:p>
    <w:p w:rsidR="004A1A1B" w:rsidRPr="00A760E2" w:rsidRDefault="004A1A1B" w:rsidP="004A1A1B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A760E2">
        <w:rPr>
          <w:rFonts w:ascii="GHEA Grapalat" w:hAnsi="GHEA Grapalat"/>
          <w:b/>
          <w:lang w:val="hy-AM"/>
        </w:rPr>
        <w:t>Մարդու իրավունքների եվրոպական դատարանի կայացրած վճռի վերաբերյալ</w:t>
      </w:r>
    </w:p>
    <w:p w:rsidR="004A1A1B" w:rsidRPr="00A760E2" w:rsidRDefault="004A1A1B" w:rsidP="004A1A1B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</w:p>
    <w:p w:rsidR="004A1A1B" w:rsidRPr="00A760E2" w:rsidRDefault="004A1A1B" w:rsidP="004A1A1B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</w:p>
    <w:p w:rsidR="004A1A1B" w:rsidRPr="00A760E2" w:rsidRDefault="004A1A1B" w:rsidP="004A1A1B">
      <w:pPr>
        <w:spacing w:line="360" w:lineRule="auto"/>
        <w:ind w:firstLine="567"/>
        <w:rPr>
          <w:rFonts w:ascii="GHEA Grapalat" w:hAnsi="GHEA Grapalat"/>
          <w:b/>
          <w:lang w:val="hy-AM"/>
        </w:rPr>
      </w:pPr>
      <w:r w:rsidRPr="00A760E2">
        <w:rPr>
          <w:rFonts w:ascii="GHEA Grapalat" w:hAnsi="GHEA Grapalat"/>
          <w:b/>
          <w:lang w:val="hy-AM"/>
        </w:rPr>
        <w:t>Գործի ելակետային տվյալները</w:t>
      </w:r>
    </w:p>
    <w:p w:rsidR="004A1A1B" w:rsidRPr="00A760E2" w:rsidRDefault="004A1A1B" w:rsidP="004A1A1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A760E2">
        <w:rPr>
          <w:rFonts w:ascii="GHEA Grapalat" w:hAnsi="GHEA Grapalat"/>
          <w:lang w:val="hy-AM"/>
        </w:rPr>
        <w:t xml:space="preserve">Մարդու իրավունքների եվրոպական դատարանը (այսուհետ՝ Եվրոպական դատարան) 2018 թվականի հոկտեմբերի 18-ին հրապարակել է </w:t>
      </w:r>
      <w:r w:rsidRPr="00A760E2">
        <w:rPr>
          <w:rFonts w:ascii="GHEA Grapalat" w:hAnsi="GHEA Grapalat"/>
          <w:i/>
          <w:lang w:val="hy-AM"/>
        </w:rPr>
        <w:t>«Այվազյանն ընդդեմ Հայաստանի»</w:t>
      </w:r>
      <w:r w:rsidRPr="00A760E2">
        <w:rPr>
          <w:rFonts w:ascii="GHEA Grapalat" w:hAnsi="GHEA Grapalat"/>
          <w:lang w:val="hy-AM"/>
        </w:rPr>
        <w:t xml:space="preserve"> գործով վճիռը, որով արձանագրել է Մարդու իրավունքների եվրոպական կոնվենցիայի (այսուհետ՝ Կոնվենցիա) 5-</w:t>
      </w:r>
      <w:r w:rsidRPr="00A760E2">
        <w:rPr>
          <w:rFonts w:ascii="GHEA Grapalat" w:hAnsi="GHEA Grapalat" w:cs="Sylfaen"/>
          <w:lang w:val="hy-AM"/>
        </w:rPr>
        <w:t>րդ</w:t>
      </w:r>
      <w:r w:rsidRPr="00A760E2">
        <w:rPr>
          <w:rFonts w:ascii="GHEA Grapalat" w:hAnsi="GHEA Grapalat"/>
          <w:lang w:val="hy-AM"/>
        </w:rPr>
        <w:t xml:space="preserve"> </w:t>
      </w:r>
      <w:r w:rsidRPr="00A760E2">
        <w:rPr>
          <w:rFonts w:ascii="GHEA Grapalat" w:hAnsi="GHEA Grapalat" w:cs="Sylfaen"/>
          <w:lang w:val="hy-AM"/>
        </w:rPr>
        <w:t>հոդվածի</w:t>
      </w:r>
      <w:r w:rsidRPr="00A760E2">
        <w:rPr>
          <w:rFonts w:ascii="GHEA Grapalat" w:hAnsi="GHEA Grapalat"/>
          <w:lang w:val="hy-AM"/>
        </w:rPr>
        <w:t xml:space="preserve"> 1-ին</w:t>
      </w:r>
      <w:r w:rsidR="002E13AC">
        <w:rPr>
          <w:rFonts w:ascii="GHEA Grapalat" w:hAnsi="GHEA Grapalat"/>
        </w:rPr>
        <w:t xml:space="preserve"> </w:t>
      </w:r>
      <w:proofErr w:type="spellStart"/>
      <w:r w:rsidR="002E13AC">
        <w:rPr>
          <w:rFonts w:ascii="GHEA Grapalat" w:hAnsi="GHEA Grapalat"/>
        </w:rPr>
        <w:t>կետի</w:t>
      </w:r>
      <w:proofErr w:type="spellEnd"/>
      <w:r w:rsidRPr="00A760E2">
        <w:rPr>
          <w:rFonts w:ascii="GHEA Grapalat" w:hAnsi="GHEA Grapalat"/>
          <w:lang w:val="hy-AM"/>
        </w:rPr>
        <w:t xml:space="preserve"> և</w:t>
      </w:r>
      <w:r w:rsidR="009C1AF0" w:rsidRPr="009C1AF0">
        <w:rPr>
          <w:rFonts w:ascii="Courier New" w:hAnsi="Courier New" w:cs="Courier New"/>
        </w:rPr>
        <w:t> </w:t>
      </w:r>
      <w:r w:rsidR="009C1AF0" w:rsidRPr="009C1AF0">
        <w:rPr>
          <w:rFonts w:ascii="GHEA Grapalat" w:hAnsi="GHEA Grapalat" w:cs="GHEA Grapalat"/>
        </w:rPr>
        <w:t>5-</w:t>
      </w:r>
      <w:r w:rsidR="009C1AF0" w:rsidRPr="009C1AF0">
        <w:rPr>
          <w:rFonts w:ascii="GHEA Grapalat" w:hAnsi="GHEA Grapalat"/>
        </w:rPr>
        <w:t xml:space="preserve">րդ </w:t>
      </w:r>
      <w:proofErr w:type="spellStart"/>
      <w:r w:rsidR="009C1AF0" w:rsidRPr="009C1AF0">
        <w:rPr>
          <w:rFonts w:ascii="GHEA Grapalat" w:hAnsi="GHEA Grapalat"/>
        </w:rPr>
        <w:t>հոդվածի</w:t>
      </w:r>
      <w:proofErr w:type="spellEnd"/>
      <w:r w:rsidR="009C1AF0" w:rsidRPr="009C1AF0">
        <w:rPr>
          <w:rFonts w:ascii="GHEA Grapalat" w:hAnsi="GHEA Grapalat"/>
        </w:rPr>
        <w:t xml:space="preserve"> 3-րդ </w:t>
      </w:r>
      <w:proofErr w:type="spellStart"/>
      <w:r w:rsidR="009C1AF0" w:rsidRPr="009C1AF0">
        <w:rPr>
          <w:rFonts w:ascii="GHEA Grapalat" w:hAnsi="GHEA Grapalat"/>
        </w:rPr>
        <w:t>կետի</w:t>
      </w:r>
      <w:proofErr w:type="spellEnd"/>
      <w:r w:rsidR="009C1AF0" w:rsidRPr="009C1AF0">
        <w:rPr>
          <w:rFonts w:ascii="GHEA Grapalat" w:hAnsi="GHEA Grapalat"/>
        </w:rPr>
        <w:t xml:space="preserve"> </w:t>
      </w:r>
      <w:r w:rsidRPr="00A760E2">
        <w:rPr>
          <w:rFonts w:ascii="GHEA Grapalat" w:hAnsi="GHEA Grapalat" w:cs="Sylfaen"/>
          <w:lang w:val="hy-AM"/>
        </w:rPr>
        <w:t>խախտում</w:t>
      </w:r>
      <w:r w:rsidRPr="00A760E2">
        <w:rPr>
          <w:rFonts w:ascii="GHEA Grapalat" w:hAnsi="GHEA Grapalat"/>
          <w:lang w:val="hy-AM"/>
        </w:rPr>
        <w:t xml:space="preserve">: </w:t>
      </w:r>
    </w:p>
    <w:p w:rsidR="00605164" w:rsidRPr="00A760E2" w:rsidRDefault="00605164" w:rsidP="00605164">
      <w:pPr>
        <w:spacing w:before="240" w:line="360" w:lineRule="auto"/>
        <w:ind w:firstLine="567"/>
        <w:rPr>
          <w:rFonts w:ascii="GHEA Grapalat" w:hAnsi="GHEA Grapalat"/>
          <w:b/>
          <w:lang w:val="hy-AM"/>
        </w:rPr>
      </w:pPr>
      <w:r w:rsidRPr="00A760E2">
        <w:rPr>
          <w:rFonts w:ascii="GHEA Grapalat" w:hAnsi="GHEA Grapalat"/>
          <w:b/>
          <w:lang w:val="hy-AM"/>
        </w:rPr>
        <w:t>Գործի փաստական հանգամանքները</w:t>
      </w:r>
    </w:p>
    <w:p w:rsidR="00605164" w:rsidRPr="00A760E2" w:rsidRDefault="00D36903" w:rsidP="00917510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B20FDD">
        <w:rPr>
          <w:rFonts w:ascii="GHEA Grapalat" w:hAnsi="GHEA Grapalat"/>
          <w:szCs w:val="24"/>
        </w:rPr>
        <w:t xml:space="preserve">2008 </w:t>
      </w:r>
      <w:proofErr w:type="spellStart"/>
      <w:r w:rsidRPr="00B20FDD">
        <w:rPr>
          <w:rFonts w:ascii="GHEA Grapalat" w:hAnsi="GHEA Grapalat"/>
          <w:szCs w:val="24"/>
        </w:rPr>
        <w:t>թվականի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փետրվարի</w:t>
      </w:r>
      <w:proofErr w:type="spellEnd"/>
      <w:r w:rsidRPr="00B20FDD">
        <w:rPr>
          <w:rFonts w:ascii="GHEA Grapalat" w:hAnsi="GHEA Grapalat"/>
          <w:szCs w:val="24"/>
        </w:rPr>
        <w:t xml:space="preserve"> 19-ին </w:t>
      </w:r>
      <w:proofErr w:type="spellStart"/>
      <w:r w:rsidRPr="00B20FDD">
        <w:rPr>
          <w:rFonts w:ascii="GHEA Grapalat" w:hAnsi="GHEA Grapalat"/>
          <w:szCs w:val="24"/>
        </w:rPr>
        <w:t>Հայաստանում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տեղի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են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ունեցել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նախագահական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ընտրություններ</w:t>
      </w:r>
      <w:proofErr w:type="spellEnd"/>
      <w:r w:rsidRPr="00B20FDD">
        <w:rPr>
          <w:rFonts w:ascii="GHEA Grapalat" w:hAnsi="GHEA Grapalat"/>
          <w:szCs w:val="24"/>
        </w:rPr>
        <w:t xml:space="preserve">, </w:t>
      </w:r>
      <w:proofErr w:type="spellStart"/>
      <w:r w:rsidRPr="00B20FDD">
        <w:rPr>
          <w:rFonts w:ascii="GHEA Grapalat" w:hAnsi="GHEA Grapalat"/>
          <w:szCs w:val="24"/>
        </w:rPr>
        <w:t>որին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="002E13AC" w:rsidRPr="00B20FDD">
        <w:rPr>
          <w:rFonts w:ascii="GHEA Grapalat" w:hAnsi="GHEA Grapalat"/>
          <w:szCs w:val="24"/>
        </w:rPr>
        <w:t>փետրվարի</w:t>
      </w:r>
      <w:proofErr w:type="spellEnd"/>
      <w:r w:rsidR="002E13AC" w:rsidRPr="00B20FDD">
        <w:rPr>
          <w:rFonts w:ascii="GHEA Grapalat" w:hAnsi="GHEA Grapalat"/>
          <w:szCs w:val="24"/>
        </w:rPr>
        <w:t xml:space="preserve"> 20-ից </w:t>
      </w:r>
      <w:proofErr w:type="spellStart"/>
      <w:r w:rsidRPr="00B20FDD">
        <w:rPr>
          <w:rFonts w:ascii="GHEA Grapalat" w:hAnsi="GHEA Grapalat"/>
          <w:szCs w:val="24"/>
        </w:rPr>
        <w:t>հաջորդել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են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Եր</w:t>
      </w:r>
      <w:r>
        <w:rPr>
          <w:rFonts w:ascii="GHEA Grapalat" w:hAnsi="GHEA Grapalat"/>
          <w:szCs w:val="24"/>
        </w:rPr>
        <w:t>և</w:t>
      </w:r>
      <w:r w:rsidRPr="00B20FDD">
        <w:rPr>
          <w:rFonts w:ascii="GHEA Grapalat" w:hAnsi="GHEA Grapalat"/>
          <w:szCs w:val="24"/>
        </w:rPr>
        <w:t>անի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Ազատության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հրապարակում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ընդդիմության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հիմնական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թեկնածուի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աջակիցների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կողմից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անցկացվող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բողոքի</w:t>
      </w:r>
      <w:proofErr w:type="spellEnd"/>
      <w:r w:rsidRPr="00B20FDD">
        <w:rPr>
          <w:rFonts w:ascii="GHEA Grapalat" w:hAnsi="GHEA Grapalat"/>
          <w:szCs w:val="24"/>
        </w:rPr>
        <w:t xml:space="preserve"> </w:t>
      </w:r>
      <w:proofErr w:type="spellStart"/>
      <w:r w:rsidRPr="00B20FDD">
        <w:rPr>
          <w:rFonts w:ascii="GHEA Grapalat" w:hAnsi="GHEA Grapalat"/>
          <w:szCs w:val="24"/>
        </w:rPr>
        <w:t>ցույցերը</w:t>
      </w:r>
      <w:proofErr w:type="spellEnd"/>
      <w:r w:rsidRPr="00B20FDD">
        <w:rPr>
          <w:rFonts w:ascii="GHEA Grapalat" w:hAnsi="GHEA Grapalat"/>
          <w:szCs w:val="24"/>
        </w:rPr>
        <w:t xml:space="preserve">։ </w:t>
      </w:r>
      <w:r w:rsidR="00605164" w:rsidRPr="00A760E2">
        <w:rPr>
          <w:rFonts w:ascii="GHEA Grapalat" w:hAnsi="GHEA Grapalat"/>
          <w:color w:val="000000"/>
          <w:lang w:val="hy-AM"/>
        </w:rPr>
        <w:t xml:space="preserve">2008 </w:t>
      </w:r>
      <w:r w:rsidR="00605164" w:rsidRPr="00A760E2">
        <w:rPr>
          <w:rFonts w:ascii="GHEA Grapalat" w:hAnsi="GHEA Grapalat" w:cs="Sylfaen"/>
          <w:color w:val="000000"/>
          <w:lang w:val="hy-AM"/>
        </w:rPr>
        <w:t>թվականի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մարտի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1-</w:t>
      </w:r>
      <w:r w:rsidR="00605164" w:rsidRPr="00A760E2">
        <w:rPr>
          <w:rFonts w:ascii="GHEA Grapalat" w:hAnsi="GHEA Grapalat" w:cs="Sylfaen"/>
          <w:color w:val="000000"/>
          <w:lang w:val="hy-AM"/>
        </w:rPr>
        <w:t>ին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Ազատության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հրապարակում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հավաքը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ցրվել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է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ոստիկանության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կողմից։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Դիմումատուն</w:t>
      </w:r>
      <w:r w:rsidR="00605164" w:rsidRPr="00A760E2">
        <w:rPr>
          <w:rFonts w:ascii="GHEA Grapalat" w:hAnsi="GHEA Grapalat"/>
          <w:color w:val="000000"/>
          <w:lang w:val="hy-AM"/>
        </w:rPr>
        <w:t xml:space="preserve">, </w:t>
      </w:r>
      <w:r w:rsidR="00605164" w:rsidRPr="00A760E2">
        <w:rPr>
          <w:rFonts w:ascii="GHEA Grapalat" w:hAnsi="GHEA Grapalat" w:cs="Sylfaen"/>
          <w:color w:val="000000"/>
          <w:lang w:val="hy-AM"/>
        </w:rPr>
        <w:t>որն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այդ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ժամանակ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եղել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է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Ազատության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հրապարակում</w:t>
      </w:r>
      <w:r w:rsidR="00605164" w:rsidRPr="00A760E2">
        <w:rPr>
          <w:rFonts w:ascii="GHEA Grapalat" w:hAnsi="GHEA Grapalat"/>
          <w:color w:val="000000"/>
          <w:lang w:val="hy-AM"/>
        </w:rPr>
        <w:t xml:space="preserve">, </w:t>
      </w:r>
      <w:r w:rsidR="00605164" w:rsidRPr="00A760E2">
        <w:rPr>
          <w:rFonts w:ascii="GHEA Grapalat" w:hAnsi="GHEA Grapalat" w:cs="Sylfaen"/>
          <w:color w:val="000000"/>
          <w:lang w:val="hy-AM"/>
        </w:rPr>
        <w:t>ձերբակալվել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է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և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ավելի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ուշ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դատապարտվել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AE77C3">
        <w:rPr>
          <w:rFonts w:ascii="GHEA Grapalat" w:hAnsi="GHEA Grapalat"/>
          <w:color w:val="000000"/>
        </w:rPr>
        <w:t xml:space="preserve">ՀՀ </w:t>
      </w:r>
      <w:r w:rsidR="00AE77C3">
        <w:rPr>
          <w:rFonts w:ascii="GHEA Grapalat" w:hAnsi="GHEA Grapalat" w:cs="Sylfaen"/>
          <w:color w:val="000000"/>
        </w:rPr>
        <w:t>ք</w:t>
      </w:r>
      <w:r w:rsidR="00605164" w:rsidRPr="00A760E2">
        <w:rPr>
          <w:rFonts w:ascii="GHEA Grapalat" w:hAnsi="GHEA Grapalat" w:cs="Sylfaen"/>
          <w:color w:val="000000"/>
          <w:lang w:val="hy-AM"/>
        </w:rPr>
        <w:t>րեական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օրենսգրքի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316-</w:t>
      </w:r>
      <w:r w:rsidR="00605164" w:rsidRPr="00A760E2">
        <w:rPr>
          <w:rFonts w:ascii="GHEA Grapalat" w:hAnsi="GHEA Grapalat" w:cs="Sylfaen"/>
          <w:color w:val="000000"/>
          <w:lang w:val="hy-AM"/>
        </w:rPr>
        <w:t>րդ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հոդվածի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1-</w:t>
      </w:r>
      <w:r w:rsidR="00605164" w:rsidRPr="00A760E2">
        <w:rPr>
          <w:rFonts w:ascii="GHEA Grapalat" w:hAnsi="GHEA Grapalat" w:cs="Sylfaen"/>
          <w:color w:val="000000"/>
          <w:lang w:val="hy-AM"/>
        </w:rPr>
        <w:t>ին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մասով՝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ոստիկանության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աշխատակիցների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նկատմամբ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բռնություն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գործադրելու</w:t>
      </w:r>
      <w:r w:rsidR="00605164" w:rsidRPr="00A760E2">
        <w:rPr>
          <w:rFonts w:ascii="GHEA Grapalat" w:hAnsi="GHEA Grapalat"/>
          <w:color w:val="000000"/>
          <w:lang w:val="hy-AM"/>
        </w:rPr>
        <w:t xml:space="preserve"> </w:t>
      </w:r>
      <w:r w:rsidR="00605164" w:rsidRPr="00A760E2">
        <w:rPr>
          <w:rFonts w:ascii="GHEA Grapalat" w:hAnsi="GHEA Grapalat" w:cs="Sylfaen"/>
          <w:color w:val="000000"/>
          <w:lang w:val="hy-AM"/>
        </w:rPr>
        <w:t>մեղադրանքով</w:t>
      </w:r>
      <w:r w:rsidR="00605164" w:rsidRPr="00A760E2">
        <w:rPr>
          <w:rFonts w:ascii="GHEA Grapalat" w:hAnsi="GHEA Grapalat" w:cs="Tahoma"/>
          <w:color w:val="000000"/>
          <w:lang w:val="hy-AM"/>
        </w:rPr>
        <w:t>։</w:t>
      </w:r>
      <w:r w:rsidR="00605164" w:rsidRPr="00A760E2">
        <w:rPr>
          <w:rFonts w:ascii="GHEA Grapalat" w:hAnsi="GHEA Grapalat"/>
          <w:lang w:val="hy-AM"/>
        </w:rPr>
        <w:t xml:space="preserve"> </w:t>
      </w:r>
    </w:p>
    <w:p w:rsidR="00605164" w:rsidRPr="00A760E2" w:rsidRDefault="00605164" w:rsidP="00917510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A760E2">
        <w:rPr>
          <w:rFonts w:ascii="GHEA Grapalat" w:hAnsi="GHEA Grapalat"/>
          <w:color w:val="000000"/>
          <w:lang w:val="hy-AM"/>
        </w:rPr>
        <w:t xml:space="preserve">2008 </w:t>
      </w:r>
      <w:r w:rsidRPr="00A760E2">
        <w:rPr>
          <w:rFonts w:ascii="GHEA Grapalat" w:hAnsi="GHEA Grapalat" w:cs="Sylfaen"/>
          <w:color w:val="000000"/>
          <w:lang w:val="hy-AM"/>
        </w:rPr>
        <w:t>թվականի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մարտի</w:t>
      </w:r>
      <w:r w:rsidRPr="00A760E2">
        <w:rPr>
          <w:rFonts w:ascii="GHEA Grapalat" w:hAnsi="GHEA Grapalat"/>
          <w:color w:val="000000"/>
          <w:lang w:val="hy-AM"/>
        </w:rPr>
        <w:t xml:space="preserve"> 4-</w:t>
      </w:r>
      <w:r w:rsidRPr="00A760E2">
        <w:rPr>
          <w:rFonts w:ascii="GHEA Grapalat" w:hAnsi="GHEA Grapalat" w:cs="Sylfaen"/>
          <w:color w:val="000000"/>
          <w:lang w:val="hy-AM"/>
        </w:rPr>
        <w:t>ին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="007A4C05" w:rsidRPr="00A760E2">
        <w:rPr>
          <w:rFonts w:ascii="GHEA Grapalat" w:hAnsi="GHEA Grapalat" w:cs="Sylfaen"/>
          <w:color w:val="000000"/>
          <w:lang w:val="hy-AM"/>
        </w:rPr>
        <w:t>Երև</w:t>
      </w:r>
      <w:r w:rsidRPr="00A760E2">
        <w:rPr>
          <w:rFonts w:ascii="GHEA Grapalat" w:hAnsi="GHEA Grapalat" w:cs="Sylfaen"/>
          <w:color w:val="000000"/>
          <w:lang w:val="hy-AM"/>
        </w:rPr>
        <w:t>անի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Կենտրոն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="007A4C05" w:rsidRPr="00A760E2">
        <w:rPr>
          <w:rFonts w:ascii="GHEA Grapalat" w:hAnsi="GHEA Grapalat" w:cs="Sylfaen"/>
          <w:color w:val="000000"/>
          <w:lang w:val="hy-AM"/>
        </w:rPr>
        <w:t>և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Նորք</w:t>
      </w:r>
      <w:r w:rsidRPr="00A760E2">
        <w:rPr>
          <w:rFonts w:ascii="GHEA Grapalat" w:hAnsi="GHEA Grapalat"/>
          <w:color w:val="000000"/>
          <w:lang w:val="hy-AM"/>
        </w:rPr>
        <w:t>-</w:t>
      </w:r>
      <w:r w:rsidRPr="00A760E2">
        <w:rPr>
          <w:rFonts w:ascii="GHEA Grapalat" w:hAnsi="GHEA Grapalat" w:cs="Sylfaen"/>
          <w:color w:val="000000"/>
          <w:lang w:val="hy-AM"/>
        </w:rPr>
        <w:t>Մարաշ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վարչական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շրջանների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ընդհանուր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իրավասության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դատարանը</w:t>
      </w:r>
      <w:r w:rsidR="00A760E2" w:rsidRPr="00A760E2">
        <w:rPr>
          <w:rFonts w:ascii="GHEA Grapalat" w:hAnsi="GHEA Grapalat"/>
          <w:color w:val="000000"/>
          <w:lang w:val="hy-AM"/>
        </w:rPr>
        <w:t xml:space="preserve"> (այսուհետ՝ Վարչական շրջանի դատարան) </w:t>
      </w:r>
      <w:r w:rsidRPr="00A760E2">
        <w:rPr>
          <w:rFonts w:ascii="GHEA Grapalat" w:hAnsi="GHEA Grapalat" w:cs="Sylfaen"/>
          <w:color w:val="000000"/>
          <w:lang w:val="hy-AM"/>
        </w:rPr>
        <w:t>որոշում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է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կայացրել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դիմումատուի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նկատմամբ</w:t>
      </w:r>
      <w:r w:rsidRPr="00A760E2">
        <w:rPr>
          <w:rFonts w:ascii="GHEA Grapalat" w:hAnsi="GHEA Grapalat"/>
          <w:lang w:val="hy-AM"/>
        </w:rPr>
        <w:t xml:space="preserve"> մինչև 20</w:t>
      </w:r>
      <w:r w:rsidR="002E13AC">
        <w:rPr>
          <w:rFonts w:ascii="GHEA Grapalat" w:hAnsi="GHEA Grapalat"/>
        </w:rPr>
        <w:t>0</w:t>
      </w:r>
      <w:r w:rsidRPr="00A760E2">
        <w:rPr>
          <w:rFonts w:ascii="GHEA Grapalat" w:hAnsi="GHEA Grapalat"/>
          <w:lang w:val="hy-AM"/>
        </w:rPr>
        <w:t>8 թվականի մայիսի 1</w:t>
      </w:r>
      <w:r w:rsidR="00A760E2" w:rsidRPr="00A760E2">
        <w:rPr>
          <w:rFonts w:ascii="GHEA Grapalat" w:hAnsi="GHEA Grapalat"/>
          <w:lang w:val="hy-AM"/>
        </w:rPr>
        <w:t>-ը</w:t>
      </w:r>
      <w:r w:rsidRPr="00A760E2">
        <w:rPr>
          <w:rFonts w:ascii="GHEA Grapalat" w:hAnsi="GHEA Grapalat"/>
          <w:lang w:val="hy-AM"/>
        </w:rPr>
        <w:t xml:space="preserve"> կալանք կիրառելու մասին </w:t>
      </w:r>
      <w:r w:rsidRPr="00A760E2">
        <w:rPr>
          <w:rFonts w:ascii="GHEA Grapalat" w:hAnsi="GHEA Grapalat" w:cs="Sylfaen"/>
          <w:color w:val="000000"/>
          <w:lang w:val="hy-AM"/>
        </w:rPr>
        <w:t>այն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հիմքով</w:t>
      </w:r>
      <w:r w:rsidRPr="00A760E2">
        <w:rPr>
          <w:rFonts w:ascii="GHEA Grapalat" w:hAnsi="GHEA Grapalat"/>
          <w:color w:val="000000"/>
          <w:lang w:val="hy-AM"/>
        </w:rPr>
        <w:t xml:space="preserve">, </w:t>
      </w:r>
      <w:r w:rsidRPr="00A760E2">
        <w:rPr>
          <w:rFonts w:ascii="GHEA Grapalat" w:hAnsi="GHEA Grapalat" w:cs="Sylfaen"/>
          <w:color w:val="000000"/>
          <w:lang w:val="hy-AM"/>
        </w:rPr>
        <w:t>որ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դիմումատուն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կարող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էր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թաքնվել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="00A760E2" w:rsidRPr="00A760E2">
        <w:rPr>
          <w:rFonts w:ascii="GHEA Grapalat" w:hAnsi="GHEA Grapalat" w:cs="Sylfaen"/>
          <w:color w:val="000000"/>
          <w:lang w:val="hy-AM"/>
        </w:rPr>
        <w:t>և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խոչընդոտել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քննությանը</w:t>
      </w:r>
      <w:r w:rsidRPr="00A760E2">
        <w:rPr>
          <w:rFonts w:ascii="GHEA Grapalat" w:hAnsi="GHEA Grapalat"/>
          <w:lang w:val="hy-AM"/>
        </w:rPr>
        <w:t>:</w:t>
      </w:r>
    </w:p>
    <w:p w:rsidR="00605164" w:rsidRPr="00A760E2" w:rsidRDefault="00605164" w:rsidP="00917510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A760E2">
        <w:rPr>
          <w:rFonts w:ascii="GHEA Grapalat" w:hAnsi="GHEA Grapalat"/>
          <w:color w:val="000000"/>
          <w:lang w:val="hy-AM"/>
        </w:rPr>
        <w:t xml:space="preserve">2008 </w:t>
      </w:r>
      <w:r w:rsidRPr="00A760E2">
        <w:rPr>
          <w:rFonts w:ascii="GHEA Grapalat" w:hAnsi="GHEA Grapalat" w:cs="Sylfaen"/>
          <w:color w:val="000000"/>
          <w:lang w:val="hy-AM"/>
        </w:rPr>
        <w:t>թվականի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մարտի</w:t>
      </w:r>
      <w:r w:rsidRPr="00A760E2">
        <w:rPr>
          <w:rFonts w:ascii="GHEA Grapalat" w:hAnsi="GHEA Grapalat"/>
          <w:color w:val="000000"/>
          <w:lang w:val="hy-AM"/>
        </w:rPr>
        <w:t xml:space="preserve"> 10-</w:t>
      </w:r>
      <w:r w:rsidRPr="00A760E2">
        <w:rPr>
          <w:rFonts w:ascii="GHEA Grapalat" w:hAnsi="GHEA Grapalat" w:cs="Sylfaen"/>
          <w:color w:val="000000"/>
          <w:lang w:val="hy-AM"/>
        </w:rPr>
        <w:t>ին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դիմումատուն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վերաքննիչ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բողոք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է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ներկայացրել</w:t>
      </w:r>
      <w:r w:rsidRPr="00A760E2">
        <w:rPr>
          <w:rFonts w:ascii="GHEA Grapalat" w:hAnsi="GHEA Grapalat"/>
          <w:lang w:val="hy-AM"/>
        </w:rPr>
        <w:t xml:space="preserve">՝ </w:t>
      </w:r>
      <w:r w:rsidRPr="00A760E2">
        <w:rPr>
          <w:rFonts w:ascii="GHEA Grapalat" w:hAnsi="GHEA Grapalat" w:cs="Sylfaen"/>
          <w:color w:val="000000"/>
          <w:lang w:val="hy-AM"/>
        </w:rPr>
        <w:t>պնդելով</w:t>
      </w:r>
      <w:r w:rsidRPr="00A760E2">
        <w:rPr>
          <w:rFonts w:ascii="GHEA Grapalat" w:hAnsi="GHEA Grapalat"/>
          <w:color w:val="000000"/>
          <w:lang w:val="hy-AM"/>
        </w:rPr>
        <w:t xml:space="preserve">, </w:t>
      </w:r>
      <w:r w:rsidRPr="00A760E2">
        <w:rPr>
          <w:rFonts w:ascii="GHEA Grapalat" w:hAnsi="GHEA Grapalat" w:cs="Sylfaen"/>
          <w:color w:val="000000"/>
          <w:lang w:val="hy-AM"/>
        </w:rPr>
        <w:t>որ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իր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կալանավորման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անհրաժեշտությունը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հիմնավորող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="007A4C05" w:rsidRPr="00A760E2">
        <w:rPr>
          <w:rFonts w:ascii="GHEA Grapalat" w:hAnsi="GHEA Grapalat" w:cs="Sylfaen"/>
          <w:color w:val="000000"/>
          <w:lang w:val="hy-AM"/>
        </w:rPr>
        <w:t>որև</w:t>
      </w:r>
      <w:r w:rsidRPr="00A760E2">
        <w:rPr>
          <w:rFonts w:ascii="GHEA Grapalat" w:hAnsi="GHEA Grapalat" w:cs="Sylfaen"/>
          <w:color w:val="000000"/>
          <w:lang w:val="hy-AM"/>
        </w:rPr>
        <w:t>է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ապացույց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չի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ներկայացվե</w:t>
      </w:r>
      <w:r w:rsidRPr="00A760E2">
        <w:rPr>
          <w:rFonts w:ascii="GHEA Grapalat" w:hAnsi="GHEA Grapalat"/>
          <w:lang w:val="hy-AM"/>
        </w:rPr>
        <w:t>լ:</w:t>
      </w:r>
    </w:p>
    <w:p w:rsidR="00A760E2" w:rsidRPr="00A760E2" w:rsidRDefault="00A760E2" w:rsidP="0091751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A760E2">
        <w:rPr>
          <w:rFonts w:ascii="GHEA Grapalat" w:hAnsi="GHEA Grapalat"/>
          <w:color w:val="000000"/>
          <w:lang w:val="hy-AM"/>
        </w:rPr>
        <w:lastRenderedPageBreak/>
        <w:t>2008 թվականի մարտի 21-ին Վերաքննիչ քրեական դատարանը մերժել է բողոքը՝ գտնելով, որ այն փաստը, որ դիմումատուին մեղադրանք է առաջադրվել մինչ</w:t>
      </w:r>
      <w:r w:rsidR="00D36903">
        <w:rPr>
          <w:rFonts w:ascii="GHEA Grapalat" w:hAnsi="GHEA Grapalat"/>
          <w:color w:val="000000"/>
          <w:lang w:val="hy-AM"/>
        </w:rPr>
        <w:t>և</w:t>
      </w:r>
      <w:r w:rsidRPr="00A760E2">
        <w:rPr>
          <w:rFonts w:ascii="GHEA Grapalat" w:hAnsi="GHEA Grapalat"/>
          <w:color w:val="000000"/>
          <w:lang w:val="hy-AM"/>
        </w:rPr>
        <w:t xml:space="preserve"> տասը տարվա ազատազրկմամբ պատժվող ծանր հանցագործության համար, մեծացնում է վերջինիս՝ քրեական պատասխանատվությունից </w:t>
      </w:r>
      <w:r w:rsidR="00D36903">
        <w:rPr>
          <w:rFonts w:ascii="GHEA Grapalat" w:hAnsi="GHEA Grapalat"/>
          <w:color w:val="000000"/>
          <w:lang w:val="hy-AM"/>
        </w:rPr>
        <w:t>և</w:t>
      </w:r>
      <w:r w:rsidRPr="00A760E2">
        <w:rPr>
          <w:rFonts w:ascii="GHEA Grapalat" w:hAnsi="GHEA Grapalat"/>
          <w:color w:val="000000"/>
          <w:lang w:val="hy-AM"/>
        </w:rPr>
        <w:t xml:space="preserve"> պատժից խուսափելու հավանականությունը </w:t>
      </w:r>
      <w:r w:rsidR="00D36903">
        <w:rPr>
          <w:rFonts w:ascii="GHEA Grapalat" w:hAnsi="GHEA Grapalat"/>
          <w:color w:val="000000"/>
          <w:lang w:val="hy-AM"/>
        </w:rPr>
        <w:t>և</w:t>
      </w:r>
      <w:r w:rsidRPr="00A760E2">
        <w:rPr>
          <w:rFonts w:ascii="GHEA Grapalat" w:hAnsi="GHEA Grapalat"/>
          <w:color w:val="000000"/>
          <w:lang w:val="hy-AM"/>
        </w:rPr>
        <w:t xml:space="preserve"> բավարար է եզրակացնելու համար, որ դիմումատուն ընդհանուր առմամբ կարող է նոր հանցանք կատարել։</w:t>
      </w:r>
    </w:p>
    <w:p w:rsidR="00B620EA" w:rsidRPr="00A760E2" w:rsidRDefault="00B620EA" w:rsidP="00917510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A760E2">
        <w:rPr>
          <w:rFonts w:ascii="GHEA Grapalat" w:hAnsi="GHEA Grapalat"/>
          <w:color w:val="000000"/>
          <w:lang w:val="hy-AM"/>
        </w:rPr>
        <w:t xml:space="preserve">2008 </w:t>
      </w:r>
      <w:r w:rsidRPr="00A760E2">
        <w:rPr>
          <w:rFonts w:ascii="GHEA Grapalat" w:hAnsi="GHEA Grapalat" w:cs="Sylfaen"/>
          <w:color w:val="000000"/>
          <w:lang w:val="hy-AM"/>
        </w:rPr>
        <w:t>թվականի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մայիսի</w:t>
      </w:r>
      <w:r w:rsidRPr="00A760E2">
        <w:rPr>
          <w:rFonts w:ascii="GHEA Grapalat" w:hAnsi="GHEA Grapalat"/>
          <w:color w:val="000000"/>
          <w:lang w:val="hy-AM"/>
        </w:rPr>
        <w:t xml:space="preserve"> 13-</w:t>
      </w:r>
      <w:r w:rsidRPr="00A760E2">
        <w:rPr>
          <w:rFonts w:ascii="GHEA Grapalat" w:hAnsi="GHEA Grapalat" w:cs="Sylfaen"/>
          <w:color w:val="000000"/>
          <w:lang w:val="hy-AM"/>
        </w:rPr>
        <w:t>ին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Վարչական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շրջանի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դատարանը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գործը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դատական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քննության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նշանակելու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վերաբերյալ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որոշում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է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կայացրել՝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նույն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որոշմամբ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հաստատելով</w:t>
      </w:r>
      <w:r w:rsidRPr="00A760E2">
        <w:rPr>
          <w:rFonts w:ascii="GHEA Grapalat" w:hAnsi="GHEA Grapalat"/>
          <w:color w:val="000000"/>
          <w:lang w:val="hy-AM"/>
        </w:rPr>
        <w:t xml:space="preserve">, </w:t>
      </w:r>
      <w:r w:rsidRPr="00A760E2">
        <w:rPr>
          <w:rFonts w:ascii="GHEA Grapalat" w:hAnsi="GHEA Grapalat" w:cs="Sylfaen"/>
          <w:color w:val="000000"/>
          <w:lang w:val="hy-AM"/>
        </w:rPr>
        <w:t>որ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դիմումատուի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կալանքը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պետք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է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թողնել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անփոփոխ</w:t>
      </w:r>
      <w:r w:rsidRPr="00A760E2">
        <w:rPr>
          <w:rFonts w:ascii="GHEA Grapalat" w:hAnsi="GHEA Grapalat"/>
          <w:color w:val="000000"/>
          <w:lang w:val="hy-AM"/>
        </w:rPr>
        <w:t xml:space="preserve">: </w:t>
      </w:r>
      <w:r w:rsidRPr="00A760E2">
        <w:rPr>
          <w:rFonts w:ascii="GHEA Grapalat" w:hAnsi="GHEA Grapalat" w:cs="Sylfaen"/>
          <w:color w:val="000000"/>
          <w:lang w:val="hy-AM"/>
        </w:rPr>
        <w:t>Այդ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որոշումը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="00A760E2" w:rsidRPr="00A760E2">
        <w:rPr>
          <w:rFonts w:ascii="GHEA Grapalat" w:hAnsi="GHEA Grapalat" w:cs="Sylfaen"/>
          <w:color w:val="000000"/>
          <w:lang w:val="hy-AM"/>
        </w:rPr>
        <w:t>վերաքննության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կարգով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չի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բողոքարկվել</w:t>
      </w:r>
      <w:r w:rsidRPr="00A760E2">
        <w:rPr>
          <w:rFonts w:ascii="GHEA Grapalat" w:hAnsi="GHEA Grapalat"/>
          <w:lang w:val="hy-AM"/>
        </w:rPr>
        <w:t>:</w:t>
      </w:r>
    </w:p>
    <w:p w:rsidR="00B620EA" w:rsidRPr="00A760E2" w:rsidRDefault="00B620EA" w:rsidP="00917510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A760E2">
        <w:rPr>
          <w:rFonts w:ascii="GHEA Grapalat" w:hAnsi="GHEA Grapalat"/>
          <w:color w:val="000000"/>
          <w:lang w:val="hy-AM"/>
        </w:rPr>
        <w:t xml:space="preserve">2008 </w:t>
      </w:r>
      <w:r w:rsidRPr="00A760E2">
        <w:rPr>
          <w:rFonts w:ascii="GHEA Grapalat" w:hAnsi="GHEA Grapalat" w:cs="Sylfaen"/>
          <w:color w:val="000000"/>
          <w:lang w:val="hy-AM"/>
        </w:rPr>
        <w:t>թվականի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հունիսի</w:t>
      </w:r>
      <w:r w:rsidRPr="00A760E2">
        <w:rPr>
          <w:rFonts w:ascii="GHEA Grapalat" w:hAnsi="GHEA Grapalat"/>
          <w:color w:val="000000"/>
          <w:lang w:val="hy-AM"/>
        </w:rPr>
        <w:t xml:space="preserve"> 11-</w:t>
      </w:r>
      <w:r w:rsidRPr="00A760E2">
        <w:rPr>
          <w:rFonts w:ascii="GHEA Grapalat" w:hAnsi="GHEA Grapalat" w:cs="Sylfaen"/>
          <w:color w:val="000000"/>
          <w:lang w:val="hy-AM"/>
        </w:rPr>
        <w:t>ին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Վարչական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շրջանի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դատարանը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="00AE77C3">
        <w:rPr>
          <w:rFonts w:ascii="GHEA Grapalat" w:hAnsi="GHEA Grapalat"/>
          <w:color w:val="000000"/>
        </w:rPr>
        <w:t xml:space="preserve">ՀՀ </w:t>
      </w:r>
      <w:proofErr w:type="spellStart"/>
      <w:r w:rsidR="00AE77C3">
        <w:rPr>
          <w:rFonts w:ascii="GHEA Grapalat" w:hAnsi="GHEA Grapalat"/>
          <w:color w:val="000000"/>
        </w:rPr>
        <w:t>քրեական</w:t>
      </w:r>
      <w:proofErr w:type="spellEnd"/>
      <w:r w:rsidR="00AE77C3">
        <w:rPr>
          <w:rFonts w:ascii="GHEA Grapalat" w:hAnsi="GHEA Grapalat"/>
          <w:color w:val="000000"/>
        </w:rPr>
        <w:t xml:space="preserve"> </w:t>
      </w:r>
      <w:proofErr w:type="spellStart"/>
      <w:r w:rsidR="00AE77C3">
        <w:rPr>
          <w:rFonts w:ascii="GHEA Grapalat" w:hAnsi="GHEA Grapalat"/>
          <w:color w:val="000000"/>
        </w:rPr>
        <w:t>օրենսգրքի</w:t>
      </w:r>
      <w:proofErr w:type="spellEnd"/>
      <w:r w:rsidR="00AE77C3">
        <w:rPr>
          <w:rFonts w:ascii="GHEA Grapalat" w:hAnsi="GHEA Grapalat"/>
          <w:color w:val="000000"/>
        </w:rPr>
        <w:t xml:space="preserve"> </w:t>
      </w:r>
      <w:r w:rsidRPr="00A760E2">
        <w:rPr>
          <w:rFonts w:ascii="GHEA Grapalat" w:hAnsi="GHEA Grapalat"/>
          <w:color w:val="000000"/>
          <w:lang w:val="hy-AM"/>
        </w:rPr>
        <w:t>316-</w:t>
      </w:r>
      <w:r w:rsidRPr="00A760E2">
        <w:rPr>
          <w:rFonts w:ascii="GHEA Grapalat" w:hAnsi="GHEA Grapalat" w:cs="Sylfaen"/>
          <w:color w:val="000000"/>
          <w:lang w:val="hy-AM"/>
        </w:rPr>
        <w:t>րդ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հոդվածի</w:t>
      </w:r>
      <w:r w:rsidRPr="00A760E2">
        <w:rPr>
          <w:rFonts w:ascii="GHEA Grapalat" w:hAnsi="GHEA Grapalat"/>
          <w:color w:val="000000"/>
          <w:lang w:val="hy-AM"/>
        </w:rPr>
        <w:t xml:space="preserve"> 1-</w:t>
      </w:r>
      <w:r w:rsidRPr="00A760E2">
        <w:rPr>
          <w:rFonts w:ascii="GHEA Grapalat" w:hAnsi="GHEA Grapalat" w:cs="Sylfaen"/>
          <w:color w:val="000000"/>
          <w:lang w:val="hy-AM"/>
        </w:rPr>
        <w:t>ին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մասով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դիմումատուին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մեղավոր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է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ճանաչել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ոստիկանության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աշխատ</w:t>
      </w:r>
      <w:proofErr w:type="spellStart"/>
      <w:r w:rsidR="00917510">
        <w:rPr>
          <w:rFonts w:ascii="GHEA Grapalat" w:hAnsi="GHEA Grapalat" w:cs="Sylfaen"/>
          <w:color w:val="000000"/>
        </w:rPr>
        <w:t>ակից</w:t>
      </w:r>
      <w:proofErr w:type="spellEnd"/>
      <w:r w:rsidRPr="00A760E2">
        <w:rPr>
          <w:rFonts w:ascii="GHEA Grapalat" w:hAnsi="GHEA Grapalat" w:cs="Sylfaen"/>
          <w:color w:val="000000"/>
          <w:lang w:val="hy-AM"/>
        </w:rPr>
        <w:t>ների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նկատմամբ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բռնություն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գործադրելու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համար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="00A760E2" w:rsidRPr="00A760E2">
        <w:rPr>
          <w:rFonts w:ascii="GHEA Grapalat" w:hAnsi="GHEA Grapalat" w:cs="Sylfaen"/>
          <w:color w:val="000000"/>
          <w:lang w:val="hy-AM"/>
        </w:rPr>
        <w:t>և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նրան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դատապարտել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մեկ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տարի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="003C2E57" w:rsidRPr="00A760E2">
        <w:rPr>
          <w:rFonts w:ascii="GHEA Grapalat" w:hAnsi="GHEA Grapalat" w:cs="Sylfaen"/>
          <w:color w:val="000000"/>
          <w:lang w:val="hy-AM"/>
        </w:rPr>
        <w:t>և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վեց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ամիս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ժամկետով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ազատազրկմա</w:t>
      </w:r>
      <w:r w:rsidRPr="00A760E2">
        <w:rPr>
          <w:rFonts w:ascii="GHEA Grapalat" w:hAnsi="GHEA Grapalat"/>
          <w:lang w:val="hy-AM"/>
        </w:rPr>
        <w:t>ն:</w:t>
      </w:r>
    </w:p>
    <w:p w:rsidR="00B620EA" w:rsidRPr="00A760E2" w:rsidRDefault="00B620EA" w:rsidP="004A1A1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A760E2">
        <w:rPr>
          <w:rFonts w:ascii="GHEA Grapalat" w:hAnsi="GHEA Grapalat"/>
          <w:b/>
          <w:lang w:val="hy-AM"/>
        </w:rPr>
        <w:t>Սույն գործով Եվրոպական դատարանն արձանագրել է</w:t>
      </w:r>
      <w:r w:rsidRPr="00A760E2">
        <w:rPr>
          <w:rFonts w:ascii="GHEA Grapalat" w:hAnsi="GHEA Grapalat" w:cs="Sylfaen"/>
          <w:lang w:val="hy-AM"/>
        </w:rPr>
        <w:t xml:space="preserve"> </w:t>
      </w:r>
      <w:r w:rsidRPr="00A760E2">
        <w:rPr>
          <w:rFonts w:ascii="GHEA Grapalat" w:hAnsi="GHEA Grapalat"/>
          <w:b/>
          <w:lang w:val="hy-AM"/>
        </w:rPr>
        <w:t>Կոնվենցիայի 5-</w:t>
      </w:r>
      <w:r w:rsidRPr="00A760E2">
        <w:rPr>
          <w:rFonts w:ascii="GHEA Grapalat" w:hAnsi="GHEA Grapalat" w:cs="Sylfaen"/>
          <w:b/>
          <w:lang w:val="hy-AM"/>
        </w:rPr>
        <w:t>րդ</w:t>
      </w:r>
      <w:r w:rsidRPr="00A760E2">
        <w:rPr>
          <w:rFonts w:ascii="GHEA Grapalat" w:hAnsi="GHEA Grapalat"/>
          <w:b/>
          <w:lang w:val="hy-AM"/>
        </w:rPr>
        <w:t xml:space="preserve"> </w:t>
      </w:r>
      <w:r w:rsidRPr="00A760E2">
        <w:rPr>
          <w:rFonts w:ascii="GHEA Grapalat" w:hAnsi="GHEA Grapalat" w:cs="Sylfaen"/>
          <w:b/>
          <w:lang w:val="hy-AM"/>
        </w:rPr>
        <w:t>հոդվածի 1-ին</w:t>
      </w:r>
      <w:r w:rsidR="00917510">
        <w:rPr>
          <w:rFonts w:ascii="GHEA Grapalat" w:hAnsi="GHEA Grapalat" w:cs="Sylfaen"/>
          <w:b/>
        </w:rPr>
        <w:t xml:space="preserve"> </w:t>
      </w:r>
      <w:proofErr w:type="spellStart"/>
      <w:r w:rsidR="00917510">
        <w:rPr>
          <w:rFonts w:ascii="GHEA Grapalat" w:hAnsi="GHEA Grapalat" w:cs="Sylfaen"/>
          <w:b/>
        </w:rPr>
        <w:t>կետի</w:t>
      </w:r>
      <w:proofErr w:type="spellEnd"/>
      <w:r w:rsidRPr="00A760E2">
        <w:rPr>
          <w:rFonts w:ascii="GHEA Grapalat" w:hAnsi="GHEA Grapalat" w:cs="Sylfaen"/>
          <w:b/>
          <w:lang w:val="hy-AM"/>
        </w:rPr>
        <w:t xml:space="preserve"> </w:t>
      </w:r>
      <w:r w:rsidR="00D36903">
        <w:rPr>
          <w:rFonts w:ascii="GHEA Grapalat" w:hAnsi="GHEA Grapalat" w:cs="Sylfaen"/>
          <w:b/>
        </w:rPr>
        <w:t xml:space="preserve">և </w:t>
      </w:r>
      <w:r w:rsidR="009C1AF0" w:rsidRPr="009C1AF0">
        <w:rPr>
          <w:rFonts w:ascii="GHEA Grapalat" w:hAnsi="GHEA Grapalat" w:cs="Sylfaen"/>
          <w:b/>
        </w:rPr>
        <w:t xml:space="preserve">5-րդ </w:t>
      </w:r>
      <w:proofErr w:type="spellStart"/>
      <w:r w:rsidR="009C1AF0" w:rsidRPr="009C1AF0">
        <w:rPr>
          <w:rFonts w:ascii="GHEA Grapalat" w:hAnsi="GHEA Grapalat" w:cs="Sylfaen"/>
          <w:b/>
        </w:rPr>
        <w:t>հոդվածի</w:t>
      </w:r>
      <w:proofErr w:type="spellEnd"/>
      <w:r w:rsidR="009C1AF0" w:rsidRPr="009C1AF0">
        <w:rPr>
          <w:rFonts w:ascii="GHEA Grapalat" w:hAnsi="GHEA Grapalat" w:cs="Sylfaen"/>
          <w:b/>
        </w:rPr>
        <w:t xml:space="preserve"> 3-րդ </w:t>
      </w:r>
      <w:proofErr w:type="spellStart"/>
      <w:r w:rsidR="009C1AF0" w:rsidRPr="009C1AF0">
        <w:rPr>
          <w:rFonts w:ascii="GHEA Grapalat" w:hAnsi="GHEA Grapalat" w:cs="Sylfaen"/>
          <w:b/>
        </w:rPr>
        <w:t>կետի</w:t>
      </w:r>
      <w:proofErr w:type="spellEnd"/>
      <w:r w:rsidR="009C1AF0" w:rsidRPr="009C1AF0">
        <w:rPr>
          <w:rFonts w:ascii="GHEA Grapalat" w:hAnsi="GHEA Grapalat" w:cs="Sylfaen"/>
          <w:b/>
        </w:rPr>
        <w:t xml:space="preserve"> </w:t>
      </w:r>
      <w:r w:rsidRPr="00A760E2">
        <w:rPr>
          <w:rFonts w:ascii="GHEA Grapalat" w:hAnsi="GHEA Grapalat" w:cs="Sylfaen"/>
          <w:b/>
          <w:lang w:val="hy-AM"/>
        </w:rPr>
        <w:t>խախտում</w:t>
      </w:r>
      <w:r w:rsidRPr="00A760E2">
        <w:rPr>
          <w:rFonts w:ascii="GHEA Grapalat" w:hAnsi="GHEA Grapalat"/>
          <w:lang w:val="hy-AM"/>
        </w:rPr>
        <w:t>:</w:t>
      </w:r>
    </w:p>
    <w:p w:rsidR="00C23999" w:rsidRDefault="007A4C05" w:rsidP="00917510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A760E2">
        <w:rPr>
          <w:rFonts w:ascii="GHEA Grapalat" w:hAnsi="GHEA Grapalat" w:cs="Sylfaen"/>
          <w:color w:val="000000"/>
          <w:lang w:val="hy-AM"/>
        </w:rPr>
        <w:t>Դիմումատուն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917510">
        <w:rPr>
          <w:rFonts w:ascii="GHEA Grapalat" w:hAnsi="GHEA Grapalat" w:cs="Sylfaen"/>
          <w:color w:val="000000"/>
        </w:rPr>
        <w:t>պնդել</w:t>
      </w:r>
      <w:proofErr w:type="spellEnd"/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է</w:t>
      </w:r>
      <w:r w:rsidRPr="00A760E2">
        <w:rPr>
          <w:rFonts w:ascii="GHEA Grapalat" w:hAnsi="GHEA Grapalat"/>
          <w:color w:val="000000"/>
          <w:lang w:val="hy-AM"/>
        </w:rPr>
        <w:t xml:space="preserve">, </w:t>
      </w:r>
      <w:r w:rsidRPr="00A760E2">
        <w:rPr>
          <w:rFonts w:ascii="GHEA Grapalat" w:hAnsi="GHEA Grapalat" w:cs="Sylfaen"/>
          <w:color w:val="000000"/>
          <w:lang w:val="hy-AM"/>
        </w:rPr>
        <w:t>որ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ներպետական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դատարաններն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իր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կալանավորման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համար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չեն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ներկայացրել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հիմնավոր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և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բավարար</w:t>
      </w:r>
      <w:r w:rsidRPr="00A760E2">
        <w:rPr>
          <w:rFonts w:ascii="GHEA Grapalat" w:hAnsi="GHEA Grapalat"/>
          <w:color w:val="000000"/>
          <w:lang w:val="hy-AM"/>
        </w:rPr>
        <w:t xml:space="preserve"> </w:t>
      </w:r>
      <w:r w:rsidRPr="00A760E2">
        <w:rPr>
          <w:rFonts w:ascii="GHEA Grapalat" w:hAnsi="GHEA Grapalat" w:cs="Sylfaen"/>
          <w:color w:val="000000"/>
          <w:lang w:val="hy-AM"/>
        </w:rPr>
        <w:t>պատճառներ:</w:t>
      </w:r>
      <w:r w:rsidR="00C23999">
        <w:rPr>
          <w:rFonts w:ascii="GHEA Grapalat" w:hAnsi="GHEA Grapalat"/>
          <w:lang w:val="hy-AM"/>
        </w:rPr>
        <w:t xml:space="preserve"> </w:t>
      </w:r>
    </w:p>
    <w:p w:rsidR="00BA47F5" w:rsidRDefault="00C23999" w:rsidP="00917510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Եվրոպական դ</w:t>
      </w:r>
      <w:r w:rsidRPr="00C23999">
        <w:rPr>
          <w:rFonts w:ascii="GHEA Grapalat" w:hAnsi="GHEA Grapalat"/>
          <w:lang w:val="hy-AM"/>
        </w:rPr>
        <w:t xml:space="preserve">ատարանը եկել է </w:t>
      </w:r>
      <w:r w:rsidR="005176DE">
        <w:rPr>
          <w:rFonts w:ascii="GHEA Grapalat" w:hAnsi="GHEA Grapalat"/>
          <w:lang w:val="hy-AM"/>
        </w:rPr>
        <w:t xml:space="preserve">այն </w:t>
      </w:r>
      <w:r w:rsidRPr="00C23999">
        <w:rPr>
          <w:rFonts w:ascii="GHEA Grapalat" w:hAnsi="GHEA Grapalat"/>
          <w:lang w:val="hy-AM"/>
        </w:rPr>
        <w:t>եզրահանգման, որ դիմումատուի նկատմամբ</w:t>
      </w:r>
      <w:r w:rsidR="00BA47F5">
        <w:rPr>
          <w:rFonts w:ascii="GHEA Grapalat" w:hAnsi="GHEA Grapalat"/>
          <w:lang w:val="hy-AM"/>
        </w:rPr>
        <w:t xml:space="preserve"> </w:t>
      </w:r>
      <w:r w:rsidR="00BA47F5" w:rsidRPr="00C23999">
        <w:rPr>
          <w:rFonts w:ascii="GHEA Grapalat" w:hAnsi="GHEA Grapalat"/>
          <w:lang w:val="hy-AM"/>
        </w:rPr>
        <w:t>2008 թվականի մայիսի 1-ից 13-ը</w:t>
      </w:r>
      <w:r w:rsidR="00BA47F5">
        <w:rPr>
          <w:rFonts w:ascii="GHEA Grapalat" w:hAnsi="GHEA Grapalat"/>
          <w:lang w:val="hy-AM"/>
        </w:rPr>
        <w:t xml:space="preserve"> կիրառված</w:t>
      </w:r>
      <w:r w:rsidRPr="00C23999">
        <w:rPr>
          <w:rFonts w:ascii="GHEA Grapalat" w:hAnsi="GHEA Grapalat"/>
          <w:lang w:val="hy-AM"/>
        </w:rPr>
        <w:t xml:space="preserve"> կալանքը </w:t>
      </w:r>
      <w:r w:rsidR="00BA47F5">
        <w:rPr>
          <w:rFonts w:ascii="GHEA Grapalat" w:hAnsi="GHEA Grapalat"/>
          <w:lang w:val="hy-AM"/>
        </w:rPr>
        <w:t>հիմնված չի եղել</w:t>
      </w:r>
      <w:r w:rsidRPr="00C23999">
        <w:rPr>
          <w:rFonts w:ascii="GHEA Grapalat" w:hAnsi="GHEA Grapalat"/>
          <w:lang w:val="hy-AM"/>
        </w:rPr>
        <w:t xml:space="preserve"> դատարանի որոշման </w:t>
      </w:r>
      <w:r w:rsidR="00BA47F5">
        <w:rPr>
          <w:rFonts w:ascii="GHEA Grapalat" w:hAnsi="GHEA Grapalat"/>
          <w:lang w:val="hy-AM"/>
        </w:rPr>
        <w:t xml:space="preserve"> վրա, ուստի </w:t>
      </w:r>
      <w:r w:rsidRPr="00C23999">
        <w:rPr>
          <w:rFonts w:ascii="GHEA Grapalat" w:hAnsi="GHEA Grapalat"/>
          <w:lang w:val="hy-AM"/>
        </w:rPr>
        <w:t>չի եղել օրինական</w:t>
      </w:r>
      <w:r w:rsidR="00BA47F5">
        <w:rPr>
          <w:rFonts w:ascii="GHEA Grapalat" w:hAnsi="GHEA Grapalat"/>
          <w:lang w:val="hy-AM"/>
        </w:rPr>
        <w:t>:</w:t>
      </w:r>
    </w:p>
    <w:p w:rsidR="00BA47F5" w:rsidRDefault="00BA47F5" w:rsidP="00917510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Հետևաբար  </w:t>
      </w:r>
      <w:r w:rsidRPr="00C23999">
        <w:rPr>
          <w:rFonts w:ascii="GHEA Grapalat" w:hAnsi="GHEA Grapalat"/>
          <w:lang w:val="hy-AM"/>
        </w:rPr>
        <w:t>տեղի է ունեցել Կոնվենցիայի 5-րդ հոդվածի 1-ին կետի խախտում</w:t>
      </w:r>
      <w:r>
        <w:rPr>
          <w:rFonts w:ascii="GHEA Grapalat" w:hAnsi="GHEA Grapalat"/>
          <w:lang w:val="hy-AM"/>
        </w:rPr>
        <w:t>:</w:t>
      </w:r>
    </w:p>
    <w:p w:rsidR="005176DE" w:rsidRDefault="00C23999" w:rsidP="00917510">
      <w:pPr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lang w:val="hy-AM"/>
        </w:rPr>
      </w:pPr>
      <w:r w:rsidRPr="00C23999">
        <w:rPr>
          <w:rFonts w:ascii="GHEA Grapalat" w:hAnsi="GHEA Grapalat" w:cs="Sylfaen"/>
          <w:color w:val="000000"/>
          <w:lang w:val="hy-AM"/>
        </w:rPr>
        <w:t>Ավելին</w:t>
      </w:r>
      <w:r w:rsidR="00BA47F5">
        <w:rPr>
          <w:rFonts w:ascii="GHEA Grapalat" w:hAnsi="GHEA Grapalat" w:cs="Sylfaen"/>
          <w:color w:val="000000"/>
          <w:lang w:val="hy-AM"/>
        </w:rPr>
        <w:t xml:space="preserve">, Եվրոպական դատարանի պնդմամբ </w:t>
      </w:r>
      <w:r w:rsidRPr="00C23999">
        <w:rPr>
          <w:rFonts w:ascii="GHEA Grapalat" w:hAnsi="GHEA Grapalat" w:cs="Sylfaen"/>
          <w:color w:val="000000"/>
          <w:lang w:val="hy-AM"/>
        </w:rPr>
        <w:t xml:space="preserve">ներպետական դատարանները դիմումատուի շարունակական կալանավորումը հիմնավորել են պարզապես վկայակոչելով ներպետական իրավական կարգավորումները և հղում կատարելով հանցանքի ծանրությանը՝ առանց հաշվի առնելու գործի փաստական հանգամանքները կամ առանց մանրամասնելու, թե ինչու բավարար հիմքեր կան ենթադրելու, որ </w:t>
      </w:r>
      <w:r w:rsidR="00AE77C3">
        <w:rPr>
          <w:rFonts w:ascii="GHEA Grapalat" w:hAnsi="GHEA Grapalat" w:cs="Sylfaen"/>
          <w:color w:val="000000"/>
          <w:lang w:val="hy-AM"/>
        </w:rPr>
        <w:t>դիմ</w:t>
      </w:r>
      <w:r w:rsidRPr="00C23999">
        <w:rPr>
          <w:rFonts w:ascii="GHEA Grapalat" w:hAnsi="GHEA Grapalat" w:cs="Sylfaen"/>
          <w:color w:val="000000"/>
          <w:lang w:val="hy-AM"/>
        </w:rPr>
        <w:t>ումատուն քրեական վարույթն իրականացնող մարմնից կթաքնվի, գործի քննությանը կխոչընդոտի կամ քրեական օրենքով չթույլատրված արարք կկատարի:</w:t>
      </w:r>
    </w:p>
    <w:p w:rsidR="005176DE" w:rsidRDefault="005176DE" w:rsidP="00917510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Հետևաբար  </w:t>
      </w:r>
      <w:r w:rsidRPr="00C23999">
        <w:rPr>
          <w:rFonts w:ascii="GHEA Grapalat" w:hAnsi="GHEA Grapalat"/>
          <w:lang w:val="hy-AM"/>
        </w:rPr>
        <w:t>տեղի է ունեցել Կոնվենցիայի 5-րդ հոդվածի</w:t>
      </w:r>
      <w:r>
        <w:rPr>
          <w:rFonts w:ascii="GHEA Grapalat" w:hAnsi="GHEA Grapalat"/>
          <w:lang w:val="hy-AM"/>
        </w:rPr>
        <w:t xml:space="preserve"> 3-րդ</w:t>
      </w:r>
      <w:r w:rsidRPr="00C23999">
        <w:rPr>
          <w:rFonts w:ascii="GHEA Grapalat" w:hAnsi="GHEA Grapalat"/>
          <w:lang w:val="hy-AM"/>
        </w:rPr>
        <w:t xml:space="preserve"> կետի խախտում</w:t>
      </w:r>
      <w:r>
        <w:rPr>
          <w:rFonts w:ascii="GHEA Grapalat" w:hAnsi="GHEA Grapalat"/>
          <w:lang w:val="hy-AM"/>
        </w:rPr>
        <w:t>:</w:t>
      </w:r>
    </w:p>
    <w:p w:rsidR="00917510" w:rsidRDefault="00917510" w:rsidP="00B620EA">
      <w:pPr>
        <w:spacing w:line="360" w:lineRule="auto"/>
        <w:ind w:firstLine="567"/>
        <w:jc w:val="both"/>
        <w:rPr>
          <w:rFonts w:ascii="GHEA Grapalat" w:hAnsi="GHEA Grapalat"/>
          <w:b/>
        </w:rPr>
      </w:pPr>
    </w:p>
    <w:p w:rsidR="00B620EA" w:rsidRPr="00A760E2" w:rsidRDefault="00B620EA" w:rsidP="00B620EA">
      <w:pPr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 w:rsidRPr="00A760E2">
        <w:rPr>
          <w:rFonts w:ascii="GHEA Grapalat" w:hAnsi="GHEA Grapalat"/>
          <w:b/>
          <w:lang w:val="hy-AM"/>
        </w:rPr>
        <w:t>Արդարացի փոխհատուցում</w:t>
      </w:r>
    </w:p>
    <w:p w:rsidR="00B620EA" w:rsidRPr="00A760E2" w:rsidRDefault="00B620EA" w:rsidP="00B620EA">
      <w:pPr>
        <w:pStyle w:val="ECHRPara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2"/>
        </w:rPr>
      </w:pPr>
      <w:r w:rsidRPr="00A760E2">
        <w:rPr>
          <w:rFonts w:ascii="GHEA Grapalat" w:hAnsi="GHEA Grapalat"/>
          <w:b/>
          <w:sz w:val="22"/>
        </w:rPr>
        <w:t xml:space="preserve">Գործի քննության արդյունքում Եվրոպական դատարանը վճռել է դիմումատուին շնորհել </w:t>
      </w:r>
      <w:r w:rsidRPr="00A760E2">
        <w:rPr>
          <w:rFonts w:ascii="GHEA Grapalat" w:hAnsi="GHEA Grapalat"/>
          <w:b/>
          <w:color w:val="000000"/>
          <w:sz w:val="22"/>
        </w:rPr>
        <w:t xml:space="preserve">4 500 </w:t>
      </w:r>
      <w:r w:rsidRPr="00A760E2">
        <w:rPr>
          <w:rFonts w:ascii="GHEA Grapalat" w:hAnsi="GHEA Grapalat" w:cs="Sylfaen"/>
          <w:b/>
          <w:color w:val="000000"/>
          <w:sz w:val="22"/>
        </w:rPr>
        <w:t>եվրո</w:t>
      </w:r>
      <w:r w:rsidRPr="00A760E2">
        <w:rPr>
          <w:rFonts w:ascii="GHEA Grapalat" w:hAnsi="GHEA Grapalat"/>
          <w:b/>
          <w:sz w:val="22"/>
        </w:rPr>
        <w:t xml:space="preserve"> ոչ նյութական վնասի դիմաց:</w:t>
      </w:r>
      <w:r w:rsidRPr="00A760E2">
        <w:rPr>
          <w:rFonts w:ascii="GHEA Grapalat" w:hAnsi="GHEA Grapalat"/>
          <w:sz w:val="22"/>
        </w:rPr>
        <w:t xml:space="preserve"> </w:t>
      </w:r>
    </w:p>
    <w:p w:rsidR="00B620EA" w:rsidRPr="00A760E2" w:rsidRDefault="00B620EA" w:rsidP="004A1A1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B620EA" w:rsidRPr="00A760E2" w:rsidRDefault="00B620EA" w:rsidP="004A1A1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605164" w:rsidRPr="00A760E2" w:rsidRDefault="00605164" w:rsidP="004A1A1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605164" w:rsidRPr="00A760E2" w:rsidRDefault="00605164" w:rsidP="004A1A1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4A1A1B" w:rsidRPr="00A760E2" w:rsidRDefault="004A1A1B" w:rsidP="004A1A1B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</w:p>
    <w:p w:rsidR="004A1A1B" w:rsidRPr="00A760E2" w:rsidRDefault="004A1A1B" w:rsidP="004A1A1B">
      <w:pPr>
        <w:spacing w:before="576" w:after="480"/>
        <w:jc w:val="both"/>
        <w:rPr>
          <w:rFonts w:ascii="GHEA Grapalat" w:hAnsi="GHEA Grapalat"/>
          <w:lang w:val="hy-AM"/>
        </w:rPr>
      </w:pPr>
    </w:p>
    <w:sectPr w:rsidR="004A1A1B" w:rsidRPr="00A760E2" w:rsidSect="00542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A1A1B"/>
    <w:rsid w:val="00030D2A"/>
    <w:rsid w:val="00147F55"/>
    <w:rsid w:val="00226C8F"/>
    <w:rsid w:val="002E13AC"/>
    <w:rsid w:val="003C2E57"/>
    <w:rsid w:val="004A1A1B"/>
    <w:rsid w:val="004B5E56"/>
    <w:rsid w:val="005176DE"/>
    <w:rsid w:val="0054236D"/>
    <w:rsid w:val="00605164"/>
    <w:rsid w:val="007A4C05"/>
    <w:rsid w:val="00917510"/>
    <w:rsid w:val="00932ADF"/>
    <w:rsid w:val="009C1AF0"/>
    <w:rsid w:val="00A34433"/>
    <w:rsid w:val="00A760E2"/>
    <w:rsid w:val="00AE77C3"/>
    <w:rsid w:val="00B620EA"/>
    <w:rsid w:val="00B96F89"/>
    <w:rsid w:val="00BA47F5"/>
    <w:rsid w:val="00C23999"/>
    <w:rsid w:val="00D3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86" w:firstLine="86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A1B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HRPara">
    <w:name w:val="ECHR_Para"/>
    <w:aliases w:val="Ju_Para,Left,First line:  0 cm"/>
    <w:basedOn w:val="Normal"/>
    <w:link w:val="JuParaChar"/>
    <w:qFormat/>
    <w:rsid w:val="00B620EA"/>
    <w:pPr>
      <w:spacing w:after="0" w:line="240" w:lineRule="auto"/>
      <w:ind w:firstLine="284"/>
      <w:jc w:val="both"/>
    </w:pPr>
    <w:rPr>
      <w:rFonts w:eastAsia="Times New Roman"/>
      <w:sz w:val="24"/>
      <w:lang w:val="hy-AM" w:eastAsia="hy-AM" w:bidi="hy-AM"/>
    </w:rPr>
  </w:style>
  <w:style w:type="character" w:customStyle="1" w:styleId="JuParaChar">
    <w:name w:val="Ju_Para Char"/>
    <w:basedOn w:val="DefaultParagraphFont"/>
    <w:link w:val="ECHRPara"/>
    <w:rsid w:val="00B620EA"/>
    <w:rPr>
      <w:rFonts w:ascii="Calibri" w:eastAsia="Times New Roman" w:hAnsi="Calibri" w:cs="Times New Roman"/>
      <w:sz w:val="24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https://mul.gov.am/tasks/docs/attachment.php?id=488825&amp;fn=texekanq.docx&amp;out=1&amp;token=98d6df359df7d50cd472</cp:keywords>
</cp:coreProperties>
</file>