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0B" w:rsidRPr="00C76235" w:rsidRDefault="00BA140B" w:rsidP="00BA140B">
      <w:pPr>
        <w:tabs>
          <w:tab w:val="left" w:pos="851"/>
        </w:tabs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C76235">
        <w:rPr>
          <w:rFonts w:ascii="GHEA Grapalat" w:hAnsi="GHEA Grapalat"/>
          <w:sz w:val="24"/>
          <w:szCs w:val="24"/>
          <w:lang w:val="en-US"/>
        </w:rPr>
        <w:t>ՆԱԽԱԳԻԾ</w:t>
      </w:r>
    </w:p>
    <w:p w:rsidR="00BA140B" w:rsidRPr="00C76235" w:rsidRDefault="00BA140B" w:rsidP="00BA140B">
      <w:pPr>
        <w:tabs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Ո Ր Ո Շ ՈՒ Մ</w:t>
      </w:r>
    </w:p>
    <w:p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«_____</w:t>
      </w:r>
      <w:proofErr w:type="gramStart"/>
      <w:r w:rsidRPr="002936A3">
        <w:rPr>
          <w:rFonts w:ascii="GHEA Grapalat" w:hAnsi="GHEA Grapalat"/>
          <w:sz w:val="24"/>
          <w:szCs w:val="24"/>
          <w:lang w:val="en-US"/>
        </w:rPr>
        <w:t>»  «</w:t>
      </w:r>
      <w:proofErr w:type="gramEnd"/>
      <w:r w:rsidRPr="002936A3">
        <w:rPr>
          <w:rFonts w:ascii="GHEA Grapalat" w:hAnsi="GHEA Grapalat"/>
          <w:sz w:val="24"/>
          <w:szCs w:val="24"/>
          <w:lang w:val="en-US"/>
        </w:rPr>
        <w:t xml:space="preserve">_____» 2018 </w:t>
      </w:r>
      <w:proofErr w:type="spellStart"/>
      <w:r w:rsidRPr="002936A3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936A3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BA140B" w:rsidRPr="002936A3" w:rsidRDefault="00BA140B" w:rsidP="00BA140B">
      <w:pPr>
        <w:spacing w:after="0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</w:pP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ՀԱՅԱՍՏԱՆԻ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ՀԱՆՐԱՊԵՏՈՒԹՅԱՆ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ԿԱՌԱՎԱՐՈՒԹՅԱՆ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2017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ԹՎԱԿԱՆԻ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ԴԵԿՏԵՄԲԵՐԻ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28-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Ի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N 1717-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ՈՐՈՇՄԱՆ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ՄԵՋ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ՓՈՓՈԽՈՒԹՅՈՒՆՆԵՐ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ԵՎ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ԼՐԱՑՈՒՄՆԵՐ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ԿԱՏԱՐԵԼՈՒ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ԵՎ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ԳՈՒՄԱՐ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ՀԱՏԿԱՑՆԵԼՈՒ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ՄԱՍԻՆ</w:t>
      </w:r>
    </w:p>
    <w:p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BA140B" w:rsidRPr="00C63FBF" w:rsidRDefault="00BA140B" w:rsidP="00BA140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Times New Roman" w:hAnsi="GHEA Grapalat"/>
          <w:color w:val="000000"/>
          <w:lang w:val="en-US"/>
        </w:rPr>
      </w:pPr>
      <w:r w:rsidRPr="00C63FBF">
        <w:rPr>
          <w:rFonts w:ascii="GHEA Grapalat" w:eastAsia="Times New Roman" w:hAnsi="GHEA Grapalat"/>
          <w:color w:val="000000"/>
          <w:lang w:val="en-US"/>
        </w:rPr>
        <w:t xml:space="preserve">     «</w:t>
      </w:r>
      <w:r w:rsidRPr="00C63FBF">
        <w:rPr>
          <w:rFonts w:ascii="GHEA Grapalat" w:eastAsia="Times New Roman" w:hAnsi="GHEA Grapalat"/>
          <w:color w:val="000000"/>
        </w:rPr>
        <w:t>Այլընտրանքային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ծառայության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մասին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» 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օրենքի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14-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հոդվածի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6-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մասին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և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«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բյուջետային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համակարգի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մասին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» 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օրենքի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19-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հոդվածի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3-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կետին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համապատասխան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` 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կառավարությունը</w:t>
      </w:r>
      <w:r w:rsidRPr="00C63FBF">
        <w:rPr>
          <w:rFonts w:ascii="Arial" w:eastAsia="Times New Roman" w:hAnsi="Arial" w:cs="Arial"/>
          <w:color w:val="000000"/>
          <w:lang w:val="en-US"/>
        </w:rPr>
        <w:t> 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</w:rPr>
        <w:t>որոշում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</w:rPr>
        <w:t>է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  <w:lang w:val="en-US"/>
        </w:rPr>
        <w:t>.</w:t>
      </w:r>
    </w:p>
    <w:p w:rsidR="00BA140B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1. 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2018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ամառային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զորակոչի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շրջանակներում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ծառայության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ուղարկված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21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ծառայողների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դրամական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բավարարման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գումարները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վճարելու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նպատակով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2018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պետական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բյուջեով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նախատեսված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կառավարության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պահուստային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ֆոնդի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հաշվին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հատկացնել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3150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.0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հազ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դրամ՝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համաձայն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N 1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2017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դեկտեմբերի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28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2018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կատարումն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ապահովող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միջոցառումների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մասին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 N 1717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որոշման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N 11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հավելվածներում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կատարել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փոփոխություններ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լրացումներ՝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համաձայն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N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N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3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3.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Սահմանել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,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1)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սույն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որոշման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հավելվածներում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նշված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մարմինները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(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բացառությամբ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տարածքային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զարգացման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նախարարության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)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ծառայողների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բավարարման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պետք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է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վճարեն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վայրի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կազմակերպությունների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միջոցով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.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2)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տարածքային կառավարման և զարգացման 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նախարարությանը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տրամադրված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բյուջետային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հատկացումների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գլխավոր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կարգադրիչի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իրավունքները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փոխանցվում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Երևանի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քաղաքապետարանին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`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Երևան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քաղաքի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վայրի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կազմակերպությունների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միջոցով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ծառայողների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բավարարման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վճարելու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4.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Սույն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որոշումն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ուժի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մեջ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է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մտնում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պաշտոնական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հրապարակմանը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հաջորդող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օրվանից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Default="00BA140B" w:rsidP="00BA140B">
      <w:pPr>
        <w:shd w:val="clear" w:color="auto" w:fill="FFFFFF"/>
        <w:spacing w:after="0"/>
        <w:ind w:left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BA140B" w:rsidRDefault="00BA140B" w:rsidP="00BA140B">
      <w:pPr>
        <w:shd w:val="clear" w:color="auto" w:fill="FFFFFF"/>
        <w:spacing w:after="0"/>
        <w:ind w:left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BA140B" w:rsidRPr="006A0403" w:rsidRDefault="00BA140B" w:rsidP="00BA140B">
      <w:pPr>
        <w:spacing w:after="0"/>
        <w:rPr>
          <w:rFonts w:ascii="GHEA Grapalat" w:hAnsi="GHEA Grapalat" w:cs="Arial Armenian"/>
          <w:sz w:val="24"/>
          <w:szCs w:val="24"/>
          <w:lang w:val="hy-AM"/>
        </w:rPr>
      </w:pPr>
      <w:r w:rsidRPr="006A040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A0403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A040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D75D24" w:rsidRPr="00203898" w:rsidRDefault="00BA140B" w:rsidP="00203898">
      <w:pPr>
        <w:shd w:val="clear" w:color="auto" w:fill="FFFFFF"/>
        <w:spacing w:after="0"/>
        <w:ind w:left="36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6A0403">
        <w:rPr>
          <w:rFonts w:ascii="GHEA Grapalat" w:hAnsi="GHEA Grapalat" w:cs="Sylfaen"/>
          <w:sz w:val="24"/>
          <w:szCs w:val="24"/>
        </w:rPr>
        <w:t xml:space="preserve">             ՎԱՐՉԱՊԵՏ                             </w:t>
      </w:r>
      <w:r w:rsidRPr="006A0403"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</w:t>
      </w:r>
      <w:r>
        <w:rPr>
          <w:rFonts w:ascii="GHEA Grapalat" w:hAnsi="GHEA Grapalat" w:cs="Arial Armenian"/>
          <w:sz w:val="24"/>
          <w:szCs w:val="24"/>
          <w:lang w:val="en-US"/>
        </w:rPr>
        <w:t>Ն</w:t>
      </w:r>
      <w:r w:rsidRPr="006A0403">
        <w:rPr>
          <w:rFonts w:ascii="GHEA Grapalat" w:hAnsi="GHEA Grapalat" w:cs="Arial Armenian"/>
          <w:sz w:val="24"/>
          <w:szCs w:val="24"/>
        </w:rPr>
        <w:t xml:space="preserve">. </w:t>
      </w:r>
      <w:r>
        <w:rPr>
          <w:rFonts w:ascii="GHEA Grapalat" w:hAnsi="GHEA Grapalat" w:cs="Arial Armenian"/>
          <w:sz w:val="24"/>
          <w:szCs w:val="24"/>
          <w:lang w:val="en-US"/>
        </w:rPr>
        <w:t>ՓԱՇԻՆՅԱՆ</w:t>
      </w:r>
      <w:bookmarkStart w:id="0" w:name="_GoBack"/>
      <w:bookmarkEnd w:id="0"/>
    </w:p>
    <w:sectPr w:rsidR="00D75D24" w:rsidRPr="00203898" w:rsidSect="001573D9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40B"/>
    <w:rsid w:val="00203898"/>
    <w:rsid w:val="00BA140B"/>
    <w:rsid w:val="00D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447C"/>
  <w15:docId w15:val="{6FC0360C-50E4-4B7B-BAEB-8E00C62E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BA140B"/>
    <w:rPr>
      <w:rFonts w:cs="Times New Roman"/>
      <w:b/>
    </w:rPr>
  </w:style>
  <w:style w:type="paragraph" w:styleId="NormalWeb">
    <w:name w:val="Normal (Web)"/>
    <w:basedOn w:val="Normal"/>
    <w:uiPriority w:val="99"/>
    <w:rsid w:val="00BA1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https://mul.gov.am/tasks/docs/attachment.php?id=489471&amp;fn=Naxagic.docx&amp;out=1&amp;token=b7aeaab14a53cbc83be0</cp:keywords>
</cp:coreProperties>
</file>