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9C7315">
        <w:rPr>
          <w:rFonts w:ascii="GHEA Grapalat" w:hAnsi="GHEA Grapalat"/>
          <w:b/>
          <w:sz w:val="24"/>
          <w:szCs w:val="24"/>
          <w:lang w:val="hy-AM"/>
        </w:rPr>
        <w:t>ԳԻՆԱՓ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ԳԻՆԱՓ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ԳԻՆԱՓ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ԳԻՆԱՓ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E14400" w:rsidRDefault="001F291E" w:rsidP="007966D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F29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մշակող արդյունաբերությունը համարվում է գերակա ոլորտ։</w:t>
      </w:r>
      <w:r w:rsidR="00E14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«ԳԻՆԱՓ» սահմանափակ պատասխանատվությամբ ընկերության կողմից ներմուծվող ապրանքներն օգտագործվելու են արհե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ստական և պլաստիկ թաղանթների ֆլե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 տպագրության, ինչպես նաև վակուում տոպրակների, պանրի տոպրակների, սուրճի և այլ բազմատեսակ տոպրակների արտադրության մեջ։</w:t>
      </w:r>
    </w:p>
    <w:p w:rsidR="00561237" w:rsidRPr="00E81E9F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1873C6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րագրի շրջանակներում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իրականացված ներդրումները կազմում են 2,5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0C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մլրդ</w:t>
      </w:r>
      <w:r w:rsidR="003C0E4A">
        <w:rPr>
          <w:rFonts w:ascii="Sylfaen" w:eastAsia="MS Mincho" w:hAnsi="Sylfaen" w:cs="MS Mincho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և մինչև 202</w:t>
      </w:r>
      <w:r w:rsidR="00B912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</w:t>
      </w:r>
      <w:r w:rsidR="00B912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bookmarkStart w:id="0" w:name="_GoBack"/>
      <w:bookmarkEnd w:id="0"/>
      <w:r>
        <w:rPr>
          <w:rFonts w:ascii="Sylfaen" w:eastAsia="MS Mincho" w:hAnsi="Sylfaen" w:cs="MS Mincho"/>
          <w:sz w:val="24"/>
          <w:szCs w:val="24"/>
          <w:lang w:val="hy-AM" w:eastAsia="ru-RU"/>
        </w:rPr>
        <w:t xml:space="preserve"> 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հավելյալ 1 մլրդ 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դրամ 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սարքավորումներ և </w:t>
      </w:r>
      <w:r w:rsidR="008545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8,</w:t>
      </w:r>
      <w:r w:rsidR="0085453D" w:rsidRPr="008545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CE2A92" w:rsidRPr="00CE2A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E2A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մլրդ ՀՀ դրամ ներդրում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մք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գնելու նպատակով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 Ն</w:t>
      </w:r>
      <w:r w:rsidR="00561237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երդրումային ծրագրի շրջանակում</w:t>
      </w:r>
      <w:r w:rsidR="00C66072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ստեղծվել է 56</w:t>
      </w:r>
      <w:r w:rsidR="0087210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աշխատատեղ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նախատեսվում է ստեղծել ևս 50 նոր աշխատատեղ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180</w:t>
      </w:r>
      <w:r w:rsidR="009137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կազմում է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545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 մլրդ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դրամ, </w:t>
      </w:r>
      <w:r w:rsidR="008545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որից 2,5 մլրդ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551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8545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տարածքում, 300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ՀՀ դրամի արտադրանքը՝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ԵԱՏՄ այլ անդամ երկրների տարածքում</w:t>
      </w:r>
      <w:r w:rsidR="00F77E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8545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200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երրորդ երկրների տարածքում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ԳԻՆԱՓ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CA6" w:rsidRDefault="00E50CA6">
      <w:pPr>
        <w:spacing w:after="0" w:line="240" w:lineRule="auto"/>
      </w:pPr>
      <w:r>
        <w:separator/>
      </w:r>
    </w:p>
  </w:endnote>
  <w:endnote w:type="continuationSeparator" w:id="0">
    <w:p w:rsidR="00E50CA6" w:rsidRDefault="00E5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E50CA6">
    <w:pPr>
      <w:pStyle w:val="Footer"/>
    </w:pPr>
  </w:p>
  <w:p w:rsidR="001918A3" w:rsidRDefault="00E50C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CA6" w:rsidRDefault="00E50CA6">
      <w:pPr>
        <w:spacing w:after="0" w:line="240" w:lineRule="auto"/>
      </w:pPr>
      <w:r>
        <w:separator/>
      </w:r>
    </w:p>
  </w:footnote>
  <w:footnote w:type="continuationSeparator" w:id="0">
    <w:p w:rsidR="00E50CA6" w:rsidRDefault="00E50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2AA3"/>
    <w:rsid w:val="000407AE"/>
    <w:rsid w:val="00041AC7"/>
    <w:rsid w:val="00041AFD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15883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A75A0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20D9E"/>
    <w:rsid w:val="00425CEC"/>
    <w:rsid w:val="00430C2D"/>
    <w:rsid w:val="00455EDA"/>
    <w:rsid w:val="00461531"/>
    <w:rsid w:val="00463647"/>
    <w:rsid w:val="004641A6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41759"/>
    <w:rsid w:val="00744EA5"/>
    <w:rsid w:val="00762D64"/>
    <w:rsid w:val="00765101"/>
    <w:rsid w:val="00791AF7"/>
    <w:rsid w:val="007950C5"/>
    <w:rsid w:val="007966D6"/>
    <w:rsid w:val="00796CE4"/>
    <w:rsid w:val="007A6815"/>
    <w:rsid w:val="007B3CB4"/>
    <w:rsid w:val="007C324E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7492"/>
    <w:rsid w:val="00862F36"/>
    <w:rsid w:val="00863CE6"/>
    <w:rsid w:val="00872104"/>
    <w:rsid w:val="00875B45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2DE7"/>
    <w:rsid w:val="008E5CA7"/>
    <w:rsid w:val="0091377F"/>
    <w:rsid w:val="0091620A"/>
    <w:rsid w:val="00922ED1"/>
    <w:rsid w:val="00927A21"/>
    <w:rsid w:val="00937999"/>
    <w:rsid w:val="00943634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17709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81DE1"/>
    <w:rsid w:val="00B903FF"/>
    <w:rsid w:val="00B9128D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E4BFF"/>
    <w:rsid w:val="00BE6844"/>
    <w:rsid w:val="00BE7D89"/>
    <w:rsid w:val="00BF1624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E2A92"/>
    <w:rsid w:val="00CE6E35"/>
    <w:rsid w:val="00CE7BB3"/>
    <w:rsid w:val="00CF0CEE"/>
    <w:rsid w:val="00CF255D"/>
    <w:rsid w:val="00CF2A20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453D5"/>
    <w:rsid w:val="00E50CA6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48584D-4639-43C7-8B8F-6DC2BAC9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https://mul.gov.am/tasks/docs/attachment.php?id=413820&amp;fn=Ezrakacutyun.docx&amp;out=0&amp;token=9ce0e31c5add50630114</cp:keywords>
  <cp:lastModifiedBy>Anjela Aslanyan</cp:lastModifiedBy>
  <cp:revision>3</cp:revision>
  <dcterms:created xsi:type="dcterms:W3CDTF">2018-12-06T05:47:00Z</dcterms:created>
  <dcterms:modified xsi:type="dcterms:W3CDTF">2018-12-06T05:50:00Z</dcterms:modified>
</cp:coreProperties>
</file>