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ED8AE" w14:textId="77777777" w:rsidR="00087E18" w:rsidRPr="006532E7" w:rsidRDefault="00087E18" w:rsidP="00087E18">
      <w:pPr>
        <w:tabs>
          <w:tab w:val="left" w:pos="0"/>
        </w:tabs>
        <w:spacing w:after="120" w:line="276" w:lineRule="auto"/>
        <w:jc w:val="both"/>
        <w:rPr>
          <w:rFonts w:ascii="Sylfaen" w:hAnsi="Sylfaen" w:cs="Aharoni"/>
          <w:bCs/>
          <w:noProof/>
          <w:sz w:val="24"/>
          <w:szCs w:val="24"/>
          <w:lang w:val="fr-FR"/>
        </w:rPr>
      </w:pPr>
    </w:p>
    <w:p w14:paraId="012B862C" w14:textId="77777777" w:rsidR="00087E18" w:rsidRPr="00891FEC" w:rsidRDefault="00087E18" w:rsidP="00087E18">
      <w:pPr>
        <w:tabs>
          <w:tab w:val="left" w:pos="0"/>
        </w:tabs>
        <w:spacing w:after="12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 – ՀԻՄՆԱՎՈՐՈՒՄ</w:t>
      </w:r>
    </w:p>
    <w:p w14:paraId="7DC6FC4E" w14:textId="3E847F6F" w:rsidR="00087E18" w:rsidRPr="00891FEC" w:rsidRDefault="00F60E2B" w:rsidP="00087E18">
      <w:pPr>
        <w:spacing w:after="120" w:line="276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>« ՀԱՅԱՍՏԱՆԻ</w:t>
      </w:r>
      <w:r w:rsidR="00087E18"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ՀԱՆՐԱՊԵՏՈՒԹՅՈՒՆՈՒՄ՝ ԵՐԵՎԱՆ ՔԱՂԱՔԻ ՏԱՐԱԾՔՈՒՄ 250 ՄՎտ ԳԱԶԱՅԻՆ ՎԱՌԵԼԻՔՈՎ ԿՈՄԲԻՆԱՑՎԱԾ ՑԻԿԼՈՎ ԷԼԵԿՏՐԱԿԱՅԱՆ ՆԱԽԱԳԾԵԼՈՒ, ԶԱՐԳԱՑՆԵԼՈՒ, ՖԻՆԱՆՍԱՎՈՐԵԼՈՒ, ԿԱՌՈՒՑԵԼՈՒ, ՍԵՓԱԿԱՆՈՒԹՅԱՆ ԻՐԱՎՈՒՆՔՈՎ ՏԻՐԱՊԵՏԵԼՈՒ, ԳՈՐԾԱՐԿԵԼՈՒ ԵՎ ՊԱՀՊԱՆԵԼՈՒ ՎԵՐԱԲԵՐՅԱԼ ՓՈՓՈԽՎԱԾ </w:t>
      </w:r>
      <w:r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087E18"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ՎԵՐԱՇԱՐԱԴՐՎԱԾ ՇՐՋԱՆԱԿԱՅԻՆ ՀԱՄԱՁԱՅՆԱԳՐ</w:t>
      </w:r>
      <w:r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ՈՒՄ ՓՈՓՈԽՈՒԹՅՈՒՆ ԵՎ ԼՐԱՑՈՒՄ ՆԱԽԱՏԵՍՈՂ </w:t>
      </w:r>
      <w:r w:rsidR="00087E18"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ՀԱՄԱՁԱՅՆԱԳՐԻՆ ՀԱՎԱՆՈՒԹՅՈՒՆ ՏԱԼՈՒ </w:t>
      </w:r>
      <w:r w:rsidR="00060AA8"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>ՄԱՍԻՆ »</w:t>
      </w:r>
      <w:r w:rsidR="00087E18" w:rsidRPr="00891FEC">
        <w:rPr>
          <w:rFonts w:ascii="GHEA Grapalat" w:hAnsi="GHEA Grapalat"/>
          <w:b/>
          <w:lang w:val="hy-AM"/>
        </w:rPr>
        <w:t xml:space="preserve"> </w:t>
      </w:r>
      <w:r w:rsidR="00087E18" w:rsidRPr="00891FE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14:paraId="55CA30A0" w14:textId="77777777" w:rsidR="00087E18" w:rsidRPr="001837ED" w:rsidRDefault="00087E18" w:rsidP="00087E18">
      <w:pPr>
        <w:spacing w:after="120" w:line="276" w:lineRule="auto"/>
        <w:jc w:val="both"/>
        <w:rPr>
          <w:rStyle w:val="Strong"/>
          <w:rFonts w:cs="Sylfaen"/>
          <w:sz w:val="24"/>
          <w:szCs w:val="24"/>
          <w:lang w:val="fr-FR"/>
        </w:rPr>
      </w:pPr>
    </w:p>
    <w:p w14:paraId="48B84BE8" w14:textId="77777777" w:rsidR="00087E18" w:rsidRPr="002F0165" w:rsidRDefault="00087E18" w:rsidP="00087E18">
      <w:pPr>
        <w:tabs>
          <w:tab w:val="left" w:pos="0"/>
        </w:tabs>
        <w:spacing w:after="120" w:line="276" w:lineRule="auto"/>
        <w:jc w:val="both"/>
        <w:rPr>
          <w:b/>
          <w:i/>
          <w:noProof/>
          <w:sz w:val="24"/>
          <w:szCs w:val="24"/>
          <w:lang w:val="fr-FR"/>
        </w:rPr>
      </w:pPr>
    </w:p>
    <w:p w14:paraId="6144DEB1" w14:textId="77777777" w:rsidR="00087E18" w:rsidRPr="002F0165" w:rsidRDefault="00087E18" w:rsidP="00087E18">
      <w:pPr>
        <w:pStyle w:val="Title"/>
        <w:numPr>
          <w:ilvl w:val="0"/>
          <w:numId w:val="1"/>
        </w:numPr>
        <w:spacing w:after="120" w:line="276" w:lineRule="auto"/>
        <w:ind w:right="-50"/>
        <w:jc w:val="both"/>
        <w:rPr>
          <w:rFonts w:ascii="GHEA Grapalat" w:hAnsi="GHEA Grapalat" w:cs="Sylfaen"/>
          <w:b/>
          <w:bCs/>
          <w:i/>
          <w:noProof w:val="0"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i/>
          <w:noProof w:val="0"/>
          <w:sz w:val="24"/>
          <w:szCs w:val="24"/>
          <w:lang w:val="hy-AM" w:eastAsia="en-US"/>
        </w:rPr>
        <w:t xml:space="preserve">Ընթացիկ իրավիճակը և խնդիրները </w:t>
      </w:r>
    </w:p>
    <w:p w14:paraId="1551C2A8" w14:textId="55CFCCCC" w:rsidR="00F60E2B" w:rsidRPr="00891FEC" w:rsidRDefault="00087E18" w:rsidP="00087E18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201</w:t>
      </w:r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8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թ.</w:t>
      </w:r>
      <w:r w:rsidR="0094742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</w:t>
      </w:r>
      <w:r w:rsidR="0094742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ոյեմբերի</w:t>
      </w:r>
      <w:proofErr w:type="spellEnd"/>
      <w:r w:rsidR="0094742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1837ED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1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noBreakHyphen/>
        <w:t>ի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նիստում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Կառավարությունը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հավանություն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տվել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</w:t>
      </w:r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առավարության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, Renco SpA ընկերությ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Արմփաուեր ՓԲԸ-ի («Կառուցապատող»)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միջև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այաստանի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անրապետությունում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՝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Երևան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քաղաքի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տարածքում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250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ՄՎտ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հզորության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գազային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վառելիքով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կոմբինացված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ցիկլով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էլեկտրակայան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նախագծելու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զարգացնելու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ֆինանսավորելու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կառուցելու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սեփականության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իրավունքով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տիրապետելու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գործարկելու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պահպանելու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վերաբերյալ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Փ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ոփոխված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Վ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երաշարադրված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ամաձայնագ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րին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(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այսուհետ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նաև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՝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Փոփոխված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Համաձայնագիր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)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որը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այնուհետև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կնքվել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Կողմերի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միջև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</w:p>
    <w:p w14:paraId="0CC61AFB" w14:textId="1FF09E5B" w:rsidR="00B23A15" w:rsidRPr="00891FEC" w:rsidRDefault="000B655C" w:rsidP="00B23A15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Հաշվի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առնելով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նշված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Համաձայնագրում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տեղ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էր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գտել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Կառավարության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համար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ոչ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բարենպաստ</w:t>
      </w:r>
      <w:proofErr w:type="spellEnd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դրույթ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(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նախկին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բանակցությունների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արդյունքում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)</w:t>
      </w:r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ի </w:t>
      </w:r>
      <w:proofErr w:type="spellStart"/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դեմս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Համաձայնագրի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F60E2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16.2 (g)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կետի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նկատի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ունենալով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այդ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դրույթը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հնարավոր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չէ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վերաբանակցել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մինչև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Փոփոխված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Համաձայնագրի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ստորագրումը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քանի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դրա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ստորագրման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համար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որոշակի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խիստ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ժամկետներ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էին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սահմանված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որոնց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չպահպանելը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վտանգում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Ծրագրի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գոյությունը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Կառավարությունը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նոյեմբերի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1-ի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նիստում</w:t>
      </w:r>
      <w:proofErr w:type="spellEnd"/>
      <w:r w:rsidR="00CE469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հավանություն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CE469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էր</w:t>
      </w:r>
      <w:proofErr w:type="spellEnd"/>
      <w:r w:rsidR="00CE469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CE469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տվել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Փոփոխված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Համաձայնագրի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կնքմանը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սակայն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պայմանով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առաջին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իսկ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հնարավորության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դեպքում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պետք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վերաբանակցվի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դրա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16.2 (g)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կետը</w:t>
      </w:r>
      <w:proofErr w:type="spellEnd"/>
      <w:r w:rsidR="00B23A15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</w:p>
    <w:p w14:paraId="783CE54E" w14:textId="4FD6FA1B" w:rsidR="000B655C" w:rsidRPr="00891FEC" w:rsidRDefault="00B23A15" w:rsidP="00087E18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յդ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նպատակով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Արդարադատության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նախարարության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կողմից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Ծրագ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իրը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Վարկավորողների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մասնավորապես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՝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Միջազգային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Ֆինանսական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Կորպորացիայի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>հետ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սկսված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բանակցություններ</w:t>
      </w:r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արդյունք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ում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հնարավոր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եղել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Փոփոխված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Համաձայնագրի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16.2 (g)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կետ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ընդհանրապես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</w:t>
      </w:r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անել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փոխարենը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որպես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փոխզիջում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այլ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իրավական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ռեժիմ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սահմանող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անհամեմատ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մեղմ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տրամաբանական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դրույթ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է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ավելաց</w:t>
      </w:r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վել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Փոփոխված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Համաձայնագրի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14.1 (e)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կետում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Ըստ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այդմ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՝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ամբողջությամբ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փոխ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վել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Կառավարության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համար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հնարավոր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անբարենպաստ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հետևանքների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իրավական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ռեժիմը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՝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</w:t>
      </w:r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</w:t>
      </w:r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ռավարության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կետանցի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դեպքից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տեղափոխելով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Վարկատուների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անբարենպաստ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պայմանի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իրադարձության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ռեժիմ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ինչը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բոլորովին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այլ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հետևանքներ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Կառավարության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համար</w:t>
      </w:r>
      <w:proofErr w:type="spellEnd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սահմանում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Բացի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այդ</w:t>
      </w:r>
      <w:proofErr w:type="spellEnd"/>
      <w:r w:rsidR="00161F21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էապես</w:t>
      </w:r>
      <w:proofErr w:type="spellEnd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նեղացվել</w:t>
      </w:r>
      <w:proofErr w:type="spellEnd"/>
      <w:r w:rsidR="00060AA8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և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որոշակիացվել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է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այդ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դեպքի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հնարավոր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կիրառման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շրջանակը</w:t>
      </w:r>
      <w:proofErr w:type="spellEnd"/>
      <w:r w:rsidR="00767FCB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  <w:r w:rsidR="000B655C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</w:p>
    <w:p w14:paraId="4D04AA85" w14:textId="77777777" w:rsidR="00087E18" w:rsidRPr="00891FEC" w:rsidRDefault="00087E18" w:rsidP="00087E18">
      <w:pPr>
        <w:spacing w:after="12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70E89A1" w14:textId="4A6AC137" w:rsidR="00087E18" w:rsidRPr="002F0165" w:rsidRDefault="00087E18" w:rsidP="00087E18">
      <w:pPr>
        <w:pStyle w:val="Title"/>
        <w:numPr>
          <w:ilvl w:val="0"/>
          <w:numId w:val="1"/>
        </w:numPr>
        <w:spacing w:after="120" w:line="276" w:lineRule="auto"/>
        <w:ind w:right="-50"/>
        <w:jc w:val="both"/>
        <w:rPr>
          <w:rFonts w:ascii="GHEA Grapalat" w:hAnsi="GHEA Grapalat" w:cs="Sylfaen"/>
          <w:b/>
          <w:bCs/>
          <w:i/>
          <w:noProof w:val="0"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i/>
          <w:noProof w:val="0"/>
          <w:sz w:val="24"/>
          <w:szCs w:val="24"/>
          <w:lang w:val="hy-AM" w:eastAsia="en-US"/>
        </w:rPr>
        <w:t>Հիմնական փոփոխությունը</w:t>
      </w:r>
    </w:p>
    <w:p w14:paraId="306B6492" w14:textId="7F2E5CF2" w:rsidR="006532E7" w:rsidRPr="00891FEC" w:rsidRDefault="00087E18" w:rsidP="00416812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Փոփոխված </w:t>
      </w:r>
      <w:r w:rsidR="0041681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Շրջանակային Համաձայնագրի 16.2 (g) կետը, ի թիվս այլնի, Կառավարության կետանցի դեպք է համարում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՝</w:t>
      </w:r>
      <w:r w:rsidR="0041681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՛՛</w:t>
      </w:r>
      <w:bookmarkStart w:id="0" w:name="_GoBack"/>
      <w:r w:rsidR="00416812" w:rsidRPr="002F0165">
        <w:rPr>
          <w:rFonts w:ascii="GHEA Grapalat" w:hAnsi="GHEA Grapalat" w:cs="Sylfaen"/>
          <w:bCs/>
          <w:i/>
          <w:sz w:val="24"/>
          <w:szCs w:val="24"/>
          <w:lang w:val="hy-AM" w:eastAsia="en-US"/>
        </w:rPr>
        <w:t xml:space="preserve">արբիտրաժային դատարանի կամ Հայաստանի դատարանի ցանկացած վճիռ կամ որոշում, կամ որևէ Պետական Մարմնի նմանատեսակ որևէ այլ որոշում, որով սույն Պայմանագիրը կամ դրանից բխող որևէ գործարք համարում է անվավեր և չգործող, չեղարկված կամ այլ կերպ նպատակ ունի արգելել կամ այլ կերպ էապես և բացասաբար միջամտել Կառավարչի բաժնետեր կամ վարկատու հանդիսացող որևէ </w:t>
      </w:r>
      <w:r w:rsidR="00807820" w:rsidRPr="002F0165">
        <w:rPr>
          <w:rFonts w:ascii="GHEA Grapalat" w:hAnsi="GHEA Grapalat" w:cs="Sylfaen"/>
          <w:bCs/>
          <w:i/>
          <w:sz w:val="24"/>
          <w:szCs w:val="24"/>
          <w:lang w:val="hy-AM" w:eastAsia="en-US"/>
        </w:rPr>
        <w:t>ա</w:t>
      </w:r>
      <w:r w:rsidR="00416812" w:rsidRPr="002F0165">
        <w:rPr>
          <w:rFonts w:ascii="GHEA Grapalat" w:hAnsi="GHEA Grapalat" w:cs="Sylfaen"/>
          <w:bCs/>
          <w:i/>
          <w:sz w:val="24"/>
          <w:szCs w:val="24"/>
          <w:lang w:val="hy-AM" w:eastAsia="en-US"/>
        </w:rPr>
        <w:t>նձի՝ իրավունքներին, եթե դա տեղի չի ունեցել Կառուցապատողի կամ նրա որևէ Կապակցված Անձի մեղքով</w:t>
      </w:r>
      <w:bookmarkEnd w:id="0"/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՛՛</w:t>
      </w:r>
      <w:r w:rsidR="0041681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:</w:t>
      </w:r>
    </w:p>
    <w:p w14:paraId="148EC5D1" w14:textId="603BD731" w:rsidR="00416812" w:rsidRPr="00891FEC" w:rsidRDefault="00416812" w:rsidP="00416812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Նշենք, որ Կառավարության կետանցի դեպքի հետևանքն ամենա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խիստն է,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ինչը պարտավորեցնում է Կառավարությանը հետ գնել էլեկտրակայանը՝ վճարելով Ծրագրի արժեքը, որը ըս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տ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որոշակի սահմանված բանաձևի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՝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կազմում է մոտավորապես  215 մլն. 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ԱՄՆ 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դոլար: </w:t>
      </w:r>
    </w:p>
    <w:p w14:paraId="188F2CA1" w14:textId="0C401B3B" w:rsidR="00416812" w:rsidRPr="002F0165" w:rsidRDefault="00416812" w:rsidP="00416812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Առաջարկվող փոփոխությունը</w:t>
      </w:r>
      <w:r w:rsidR="00C4600E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.</w:t>
      </w: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</w:t>
      </w:r>
    </w:p>
    <w:p w14:paraId="73D87DCA" w14:textId="2BAC5C6D" w:rsidR="00416812" w:rsidRPr="002F0165" w:rsidRDefault="00250ACD" w:rsidP="00416812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ա)</w:t>
      </w:r>
      <w:r w:rsidR="00416812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հան</w:t>
      </w:r>
      <w:r w:rsidR="00C4600E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վ</w:t>
      </w:r>
      <w:r w:rsidR="00416812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ում է 16.2 (g) կետն ամբողջությամբ: </w:t>
      </w:r>
    </w:p>
    <w:p w14:paraId="3BB5D1F5" w14:textId="748DDBEA" w:rsidR="00C4600E" w:rsidRPr="00891FEC" w:rsidRDefault="00250ACD" w:rsidP="00416812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բ)</w:t>
      </w:r>
      <w:r w:rsidR="00416812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="00C4600E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նախատեսվում է 14.1. (e) կետում, </w:t>
      </w:r>
      <w:r w:rsidR="00416812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որպես փոխզիջում</w:t>
      </w:r>
      <w:r w:rsidR="00C4600E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, 16.2 (g) կետի </w:t>
      </w:r>
      <w:r w:rsidR="00416812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բովանդակության էապես նեղացված և Կառավարության համար էապես բարելավված տարբերակը</w:t>
      </w:r>
      <w:r w:rsidR="00C4600E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,</w:t>
      </w:r>
      <w:r w:rsidR="00C4600E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մասնավորապես՝ 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հիշյալ դրույթ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ը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C4600E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սահմանափակ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վում է</w:t>
      </w:r>
      <w:r w:rsidR="00C4600E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միայն Վարկատուների 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շահերով </w:t>
      </w:r>
      <w:r w:rsidR="002A34BF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(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այլ ոչ թե նաև 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Բաժնետերերի</w:t>
      </w:r>
      <w:r w:rsidR="002A34BF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)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, դրույթը կիրառվում է միայն սույն</w:t>
      </w:r>
      <w:r w:rsidR="00C4600E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Համաձայնագրի և դրանով Կառավարության ստանձնած պարտավորությունների շրջանակում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2A34BF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(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այլ ոչ թե դրանից բխող ցանկացած գործարքի նկատմամբ</w:t>
      </w:r>
      <w:r w:rsidR="002A34BF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>)</w:t>
      </w:r>
      <w:r w:rsidR="00F916C2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: </w:t>
      </w:r>
      <w:r w:rsidR="00C4600E"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</w:p>
    <w:p w14:paraId="6FDEBE8B" w14:textId="1FB4525D" w:rsidR="00C4600E" w:rsidRPr="00891FEC" w:rsidRDefault="00C4600E" w:rsidP="00C4600E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lastRenderedPageBreak/>
        <w:t>գ</w:t>
      </w:r>
      <w:r w:rsidR="00250ACD"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)</w:t>
      </w:r>
      <w:r w:rsidRPr="002F016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փոխվում է իրավական ռեժիմը և հետևաբար՝ Կառավարության համար անբարենպաստ հետևանքների ռիսկն էապես նվազում է, իսկ հետևանքների բնույթն էապես փոխվում:</w:t>
      </w:r>
      <w:r w:rsidRPr="00891FEC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Այսինքն՝ 16.2 (g)-ի՝ Կառավարության կետանցի ռեժիմից և իրավական հետևանքներից անցում է կատարվում 14.1 (e)՝ Վարկատուի անբարենպաստ պայմանի իրադարձության և հետևանքների ռեժիմ, ինչը էապես բարելավում է Կառավարության դիրքերը: </w:t>
      </w:r>
    </w:p>
    <w:p w14:paraId="74FAF9C6" w14:textId="77777777" w:rsidR="006532E7" w:rsidRPr="002F0165" w:rsidRDefault="006532E7" w:rsidP="00C4600E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i/>
          <w:sz w:val="24"/>
          <w:szCs w:val="24"/>
          <w:lang w:val="hy-AM" w:eastAsia="en-US"/>
        </w:rPr>
      </w:pPr>
    </w:p>
    <w:p w14:paraId="371BEBF7" w14:textId="1DB1628E" w:rsidR="00087E18" w:rsidRPr="002F0165" w:rsidRDefault="00087E18" w:rsidP="006532E7">
      <w:pPr>
        <w:spacing w:after="120" w:line="276" w:lineRule="auto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2F0165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   3. Ակնկալվող արդյունքը</w:t>
      </w:r>
    </w:p>
    <w:p w14:paraId="5D4DE957" w14:textId="0C12DACF" w:rsidR="00DF12B8" w:rsidRPr="00891FEC" w:rsidRDefault="00087E18" w:rsidP="00087E18">
      <w:pPr>
        <w:tabs>
          <w:tab w:val="left" w:pos="426"/>
        </w:tabs>
        <w:spacing w:after="120" w:line="276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91FEC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="00DF12B8" w:rsidRPr="00891FEC">
        <w:rPr>
          <w:rFonts w:ascii="GHEA Grapalat" w:hAnsi="GHEA Grapalat" w:cs="Sylfaen"/>
          <w:bCs/>
          <w:sz w:val="24"/>
          <w:szCs w:val="24"/>
          <w:lang w:val="hy-AM"/>
        </w:rPr>
        <w:t xml:space="preserve">Առաջարկվող փոփոխության 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/>
        </w:rPr>
        <w:t xml:space="preserve">ընդունման </w:t>
      </w:r>
      <w:r w:rsidR="00DF12B8" w:rsidRPr="00891FEC">
        <w:rPr>
          <w:rFonts w:ascii="GHEA Grapalat" w:hAnsi="GHEA Grapalat" w:cs="Sylfaen"/>
          <w:bCs/>
          <w:sz w:val="24"/>
          <w:szCs w:val="24"/>
          <w:lang w:val="hy-AM"/>
        </w:rPr>
        <w:t>արդյունքում՝ Կառավարության դիրքերն ավելի են ամրապնդվում</w:t>
      </w:r>
      <w:r w:rsidR="006532E7" w:rsidRPr="00891FEC">
        <w:rPr>
          <w:rFonts w:ascii="GHEA Grapalat" w:hAnsi="GHEA Grapalat" w:cs="Sylfaen"/>
          <w:bCs/>
          <w:sz w:val="24"/>
          <w:szCs w:val="24"/>
          <w:lang w:val="hy-AM"/>
        </w:rPr>
        <w:t xml:space="preserve">: Բացառվում է Կառավարության կետանցի՝ վտանգավոր հետևանքներ նախատեսող դեպք: </w:t>
      </w:r>
      <w:r w:rsidR="00F57490" w:rsidRPr="00891FEC"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Միաժամանակ, բալանսավորվում է Վարկատուների շահերը: </w:t>
      </w:r>
      <w:r w:rsidR="00DF12B8" w:rsidRPr="00891FE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68E9D4C6" w14:textId="34307903" w:rsidR="00DF12B8" w:rsidRPr="001837ED" w:rsidRDefault="00DF12B8" w:rsidP="00087E18">
      <w:pPr>
        <w:tabs>
          <w:tab w:val="left" w:pos="426"/>
        </w:tabs>
        <w:spacing w:after="120" w:line="276" w:lineRule="auto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sectPr w:rsidR="00DF12B8" w:rsidRPr="0018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2483"/>
    <w:multiLevelType w:val="hybridMultilevel"/>
    <w:tmpl w:val="30E646B4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>
      <w:start w:val="1"/>
      <w:numFmt w:val="lowerLetter"/>
      <w:lvlText w:val="%2."/>
      <w:lvlJc w:val="left"/>
      <w:pPr>
        <w:ind w:left="2970" w:hanging="360"/>
      </w:pPr>
    </w:lvl>
    <w:lvl w:ilvl="2" w:tplc="0419001B">
      <w:start w:val="1"/>
      <w:numFmt w:val="lowerRoman"/>
      <w:lvlText w:val="%3."/>
      <w:lvlJc w:val="right"/>
      <w:pPr>
        <w:ind w:left="3690" w:hanging="180"/>
      </w:pPr>
    </w:lvl>
    <w:lvl w:ilvl="3" w:tplc="0419000F">
      <w:start w:val="1"/>
      <w:numFmt w:val="decimal"/>
      <w:lvlText w:val="%4."/>
      <w:lvlJc w:val="left"/>
      <w:pPr>
        <w:ind w:left="4410" w:hanging="360"/>
      </w:pPr>
    </w:lvl>
    <w:lvl w:ilvl="4" w:tplc="04190019">
      <w:start w:val="1"/>
      <w:numFmt w:val="lowerLetter"/>
      <w:lvlText w:val="%5."/>
      <w:lvlJc w:val="left"/>
      <w:pPr>
        <w:ind w:left="5130" w:hanging="360"/>
      </w:pPr>
    </w:lvl>
    <w:lvl w:ilvl="5" w:tplc="0419001B">
      <w:start w:val="1"/>
      <w:numFmt w:val="lowerRoman"/>
      <w:lvlText w:val="%6."/>
      <w:lvlJc w:val="right"/>
      <w:pPr>
        <w:ind w:left="5850" w:hanging="180"/>
      </w:pPr>
    </w:lvl>
    <w:lvl w:ilvl="6" w:tplc="0419000F">
      <w:start w:val="1"/>
      <w:numFmt w:val="decimal"/>
      <w:lvlText w:val="%7."/>
      <w:lvlJc w:val="left"/>
      <w:pPr>
        <w:ind w:left="6570" w:hanging="360"/>
      </w:pPr>
    </w:lvl>
    <w:lvl w:ilvl="7" w:tplc="04190019">
      <w:start w:val="1"/>
      <w:numFmt w:val="lowerLetter"/>
      <w:lvlText w:val="%8."/>
      <w:lvlJc w:val="left"/>
      <w:pPr>
        <w:ind w:left="7290" w:hanging="360"/>
      </w:pPr>
    </w:lvl>
    <w:lvl w:ilvl="8" w:tplc="0419001B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54157B9C"/>
    <w:multiLevelType w:val="hybridMultilevel"/>
    <w:tmpl w:val="991A08B6"/>
    <w:lvl w:ilvl="0" w:tplc="51629CE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0F0F"/>
    <w:multiLevelType w:val="hybridMultilevel"/>
    <w:tmpl w:val="17685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E"/>
    <w:rsid w:val="00060AA8"/>
    <w:rsid w:val="00063E4A"/>
    <w:rsid w:val="00087E18"/>
    <w:rsid w:val="000B655C"/>
    <w:rsid w:val="00161F21"/>
    <w:rsid w:val="001837ED"/>
    <w:rsid w:val="00250ACD"/>
    <w:rsid w:val="002A34BF"/>
    <w:rsid w:val="002F0165"/>
    <w:rsid w:val="00347BC6"/>
    <w:rsid w:val="00366017"/>
    <w:rsid w:val="00416812"/>
    <w:rsid w:val="004F0E6C"/>
    <w:rsid w:val="006532E7"/>
    <w:rsid w:val="00684361"/>
    <w:rsid w:val="0071058D"/>
    <w:rsid w:val="00767FCB"/>
    <w:rsid w:val="00807820"/>
    <w:rsid w:val="00891FEC"/>
    <w:rsid w:val="0094742C"/>
    <w:rsid w:val="00B23A15"/>
    <w:rsid w:val="00BB4E10"/>
    <w:rsid w:val="00BC167E"/>
    <w:rsid w:val="00C4600E"/>
    <w:rsid w:val="00CE4698"/>
    <w:rsid w:val="00D0062F"/>
    <w:rsid w:val="00DF12B8"/>
    <w:rsid w:val="00F43A5E"/>
    <w:rsid w:val="00F57490"/>
    <w:rsid w:val="00F60E2B"/>
    <w:rsid w:val="00F80FD5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AE8A"/>
  <w15:chartTrackingRefBased/>
  <w15:docId w15:val="{873A4CCB-4CDF-4A24-9680-8D42F9D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7E18"/>
    <w:pPr>
      <w:spacing w:line="360" w:lineRule="auto"/>
      <w:jc w:val="center"/>
    </w:pPr>
    <w:rPr>
      <w:rFonts w:ascii="Times Armenian" w:hAnsi="Times Armenian"/>
      <w:noProof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087E18"/>
    <w:rPr>
      <w:rFonts w:ascii="Times Armenian" w:eastAsia="Times New Roman" w:hAnsi="Times Armenian" w:cs="Times New Roman"/>
      <w:noProof/>
      <w:sz w:val="28"/>
      <w:szCs w:val="20"/>
      <w:lang w:val="ru-RU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87E18"/>
    <w:pPr>
      <w:spacing w:line="360" w:lineRule="auto"/>
      <w:ind w:firstLine="697"/>
    </w:pPr>
    <w:rPr>
      <w:rFonts w:ascii="Arial Armenian" w:hAnsi="Arial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7E18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087E1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087E1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styleId="Strong">
    <w:name w:val="Strong"/>
    <w:basedOn w:val="DefaultParagraphFont"/>
    <w:uiPriority w:val="22"/>
    <w:qFormat/>
    <w:rsid w:val="00087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http://mul-moj.gov.am/tasks/docs/attachment.php?id=163274&amp;fn=Texekanq-Himnavorum.docx&amp;out=1&amp;token=</cp:keywords>
</cp:coreProperties>
</file>