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F259F4">
        <w:rPr>
          <w:rFonts w:ascii="GHEA Grapalat" w:hAnsi="GHEA Grapalat"/>
          <w:b/>
          <w:sz w:val="24"/>
          <w:szCs w:val="24"/>
          <w:lang w:val="hy-AM"/>
        </w:rPr>
        <w:t>ՍՊԱՅԿԱ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ՍՊԱՅԿԱ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F259F4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ՍՊԱՅԿԱ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ՍՊԱՅԿԱ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E14400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թիվ </w:t>
      </w:r>
      <w:r w:rsidR="007966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442-Ն որոշմամբ հաստատված 2014-2025 թվականների հեռանկարային զարգացման ռազմավարական ծրագրի 168-րդ կետով գյուղատնտեսությունը հանդիսանում է գերակա ոլորտ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E14400" w:rsidRDefault="00E14400" w:rsidP="00E1440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ՍՊԱՅԿԱ</w:t>
      </w: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գյուղմթերքի վերամշակման մեջ</w:t>
      </w: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561237" w:rsidRPr="00E81E9F" w:rsidRDefault="00BA6AF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B177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ծ</w:t>
      </w:r>
      <w:r w:rsidR="001873C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60C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3C0E4A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որից</w:t>
      </w:r>
      <w:r w:rsidR="00460C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4,2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F259F4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="003C0E4A" w:rsidRPr="003C0E4A">
        <w:rPr>
          <w:rFonts w:ascii="GHEA Grapalat" w:eastAsia="MS Mincho" w:hAnsi="GHEA Grapalat" w:cs="MS Mincho"/>
          <w:sz w:val="24"/>
          <w:szCs w:val="24"/>
          <w:lang w:val="hy-AM" w:eastAsia="ru-RU"/>
        </w:rPr>
        <w:t>ՀՀ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դրամ՝</w:t>
      </w:r>
      <w:r w:rsidR="00460C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սեփական միջոցներից, 23,8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ՀՀ դրամ՝ վարկային միջոցներից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9F69BD" w:rsidRPr="009F6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ծրագրի շրջանակում ստեղծվել է</w:t>
      </w:r>
      <w:r w:rsidR="009F69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1600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190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  <w:r w:rsidR="00F259F4" w:rsidRP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F259F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</w:t>
      </w:r>
      <w:r w:rsidR="00460C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ստեղծել 300 նոր աշխատատեղ՝ 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200 000</w:t>
      </w:r>
      <w:r w:rsidR="00F259F4" w:rsidRPr="00F259F4">
        <w:rPr>
          <w:rFonts w:ascii="Sylfaen" w:hAnsi="Sylfaen" w:cs="Sylfaen"/>
          <w:lang w:val="hy-AM"/>
        </w:rPr>
        <w:t xml:space="preserve"> </w:t>
      </w:r>
      <w:r w:rsidR="00F259F4" w:rsidRP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3821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ծավալն առաջին տարում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1B6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45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1B6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15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1B6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տարածքում, 25 մլրդ ՀՀ դրամի արտադրանքը՝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B6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259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ՍՊԱՅԿԱ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7A" w:rsidRDefault="00B0667A">
      <w:pPr>
        <w:spacing w:after="0" w:line="240" w:lineRule="auto"/>
      </w:pPr>
      <w:r>
        <w:separator/>
      </w:r>
    </w:p>
  </w:endnote>
  <w:endnote w:type="continuationSeparator" w:id="0">
    <w:p w:rsidR="00B0667A" w:rsidRDefault="00B0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B0667A">
    <w:pPr>
      <w:pStyle w:val="Footer"/>
    </w:pPr>
  </w:p>
  <w:p w:rsidR="001918A3" w:rsidRDefault="00B06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7A" w:rsidRDefault="00B0667A">
      <w:pPr>
        <w:spacing w:after="0" w:line="240" w:lineRule="auto"/>
      </w:pPr>
      <w:r>
        <w:separator/>
      </w:r>
    </w:p>
  </w:footnote>
  <w:footnote w:type="continuationSeparator" w:id="0">
    <w:p w:rsidR="00B0667A" w:rsidRDefault="00B0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6826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0C25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56A19"/>
    <w:rsid w:val="00762D64"/>
    <w:rsid w:val="00765101"/>
    <w:rsid w:val="00791AF7"/>
    <w:rsid w:val="007950C5"/>
    <w:rsid w:val="007966D6"/>
    <w:rsid w:val="00796CE4"/>
    <w:rsid w:val="007B3CB4"/>
    <w:rsid w:val="007C304C"/>
    <w:rsid w:val="007C324E"/>
    <w:rsid w:val="007D60FE"/>
    <w:rsid w:val="007E4E35"/>
    <w:rsid w:val="007E5300"/>
    <w:rsid w:val="007F3A0D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5CA7"/>
    <w:rsid w:val="009105C6"/>
    <w:rsid w:val="0091377F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9F69BD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667A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237A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6E35"/>
    <w:rsid w:val="00CE7BB3"/>
    <w:rsid w:val="00CF0CEE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451"/>
    <w:rsid w:val="00E12D38"/>
    <w:rsid w:val="00E14400"/>
    <w:rsid w:val="00E15E07"/>
    <w:rsid w:val="00E2025F"/>
    <w:rsid w:val="00E21A93"/>
    <w:rsid w:val="00E41568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259F4"/>
    <w:rsid w:val="00F52685"/>
    <w:rsid w:val="00F53FE5"/>
    <w:rsid w:val="00F603C5"/>
    <w:rsid w:val="00F64FE9"/>
    <w:rsid w:val="00F65F65"/>
    <w:rsid w:val="00F672F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854052-E20B-4927-B982-D64A95A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https://mul.gov.am/tasks/docs/attachment.php?id=493973&amp;fn=Ezrakacutyun.docx&amp;out=1&amp;token=0b2be80e6b0d3fc80279</cp:keywords>
</cp:coreProperties>
</file>