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3470BA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3470BA">
        <w:rPr>
          <w:rFonts w:ascii="GHEA Grapalat" w:hAnsi="GHEA Grapalat"/>
          <w:b/>
          <w:sz w:val="24"/>
          <w:szCs w:val="24"/>
          <w:lang w:val="hy-AM"/>
        </w:rPr>
        <w:t>«</w:t>
      </w:r>
      <w:r w:rsidRPr="003470BA">
        <w:rPr>
          <w:rFonts w:ascii="GHEA Grapalat" w:hAnsi="GHEA Grapalat"/>
          <w:b/>
          <w:caps/>
          <w:color w:val="000000"/>
          <w:sz w:val="24"/>
          <w:szCs w:val="24"/>
          <w:shd w:val="clear" w:color="auto" w:fill="FFFFFF"/>
          <w:lang w:val="hy-AM"/>
        </w:rPr>
        <w:t>Արմենիան Տոբակո Քոմփանի</w:t>
      </w:r>
      <w:r w:rsidRPr="003470BA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470BA" w:rsidRPr="00081D7A">
        <w:rPr>
          <w:rFonts w:ascii="GHEA Grapalat" w:hAnsi="GHEA Grapalat"/>
          <w:lang w:val="hy-AM"/>
        </w:rPr>
        <w:t>«</w:t>
      </w:r>
      <w:r w:rsidR="003470BA" w:rsidRPr="004A5457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>Արմենիան Տոբակո Քոմփանի</w:t>
      </w:r>
      <w:r w:rsidR="003470BA" w:rsidRPr="00081D7A">
        <w:rPr>
          <w:rFonts w:ascii="GHEA Grapalat" w:hAnsi="GHEA Grapalat"/>
          <w:lang w:val="hy-AM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</w:t>
      </w:r>
      <w:r w:rsidR="003470BA" w:rsidRPr="00347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3470BA" w:rsidRPr="00081D7A">
        <w:rPr>
          <w:rFonts w:ascii="GHEA Grapalat" w:hAnsi="GHEA Grapalat"/>
          <w:lang w:val="hy-AM"/>
        </w:rPr>
        <w:t>«</w:t>
      </w:r>
      <w:r w:rsidR="003470BA" w:rsidRPr="004A5457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>Արմենիան Տոբակո Քոմփանի</w:t>
      </w:r>
      <w:r w:rsidR="003470BA" w:rsidRPr="00081D7A">
        <w:rPr>
          <w:rFonts w:ascii="GHEA Grapalat" w:hAnsi="GHEA Grapalat"/>
          <w:lang w:val="hy-AM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3470BA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81D7A">
        <w:rPr>
          <w:rFonts w:ascii="GHEA Grapalat" w:hAnsi="GHEA Grapalat"/>
          <w:lang w:val="hy-AM"/>
        </w:rPr>
        <w:t>«</w:t>
      </w:r>
      <w:r w:rsidRPr="004A5457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>Արմենիան Տոբակո Քոմփանի</w:t>
      </w:r>
      <w:r w:rsidRPr="00081D7A">
        <w:rPr>
          <w:rFonts w:ascii="GHEA Grapalat" w:hAnsi="GHEA Grapalat"/>
          <w:lang w:val="hy-AM"/>
        </w:rPr>
        <w:t>»</w:t>
      </w:r>
      <w:r w:rsidRPr="003470BA">
        <w:rPr>
          <w:rFonts w:ascii="GHEA Grapalat" w:hAnsi="GHEA Grapalat"/>
          <w:lang w:val="hy-AM"/>
        </w:rPr>
        <w:t xml:space="preserve"> 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53DBA" w:rsidRDefault="00E53DB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2014 թվականի մարտի 27-ի թիվ  442-Ն որոշմամբ հաստատված 2014-2025 թվականների հեռանկարային զարգացման ռազմավարական ծրագրի 168-րդ կետով արդյունաբերությունը հանդիսա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նում է գերակա ոլորտ: </w:t>
      </w:r>
      <w:r w:rsidR="003470BA" w:rsidRPr="00081D7A">
        <w:rPr>
          <w:rFonts w:ascii="GHEA Grapalat" w:hAnsi="GHEA Grapalat"/>
          <w:lang w:val="hy-AM"/>
        </w:rPr>
        <w:t>«</w:t>
      </w:r>
      <w:r w:rsidR="003470BA" w:rsidRPr="004A5457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>Արմենիան Տոբակո Քոմփանի</w:t>
      </w:r>
      <w:r w:rsidR="003470BA" w:rsidRPr="00081D7A">
        <w:rPr>
          <w:rFonts w:ascii="GHEA Grapalat" w:hAnsi="GHEA Grapalat"/>
          <w:lang w:val="hy-AM"/>
        </w:rPr>
        <w:t>»</w:t>
      </w: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գործում է թեթև արդյունաբերության բնագավառում, որն արդյունաբերության ենթաոլորտ է: </w:t>
      </w:r>
    </w:p>
    <w:p w:rsidR="009C7315" w:rsidRPr="00163C70" w:rsidRDefault="005F2FDE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81D7A">
        <w:rPr>
          <w:rFonts w:ascii="GHEA Grapalat" w:hAnsi="GHEA Grapalat"/>
          <w:lang w:val="hy-AM"/>
        </w:rPr>
        <w:t>«</w:t>
      </w:r>
      <w:r w:rsidRPr="004A5457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>Արմենիան Տոբակո Քոմփանի</w:t>
      </w:r>
      <w:r w:rsidRPr="00081D7A">
        <w:rPr>
          <w:rFonts w:ascii="GHEA Grapalat" w:hAnsi="GHEA Grapalat"/>
          <w:lang w:val="hy-AM"/>
        </w:rPr>
        <w:t>»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սահմանափակ պատասխանատվությամբ ընկերության կողմից ներմուծվող ապրանքներն օգտագործվելու են </w:t>
      </w:r>
      <w:r w:rsidRPr="00397A52">
        <w:rPr>
          <w:rFonts w:ascii="GHEA Grapalat" w:eastAsia="Calibri" w:hAnsi="GHEA Grapalat"/>
          <w:sz w:val="24"/>
          <w:szCs w:val="24"/>
          <w:lang w:val="hy-AM"/>
        </w:rPr>
        <w:t xml:space="preserve">սիգարետի արտադրության </w:t>
      </w:r>
      <w:r w:rsidRPr="005F2FDE">
        <w:rPr>
          <w:rFonts w:ascii="GHEA Grapalat" w:eastAsia="Calibri" w:hAnsi="GHEA Grapalat"/>
          <w:sz w:val="24"/>
          <w:szCs w:val="24"/>
          <w:lang w:val="hy-AM"/>
        </w:rPr>
        <w:t>մեջ</w:t>
      </w:r>
      <w:r w:rsidR="006F2825" w:rsidRPr="005F2F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6C0B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bookmarkStart w:id="0" w:name="_GoBack"/>
      <w:bookmarkEnd w:id="0"/>
      <w:r w:rsidRPr="005F2F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Կոտայքի մարզ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414CA4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 w:rsidR="001155EC" w:rsidRPr="001155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17 255 315 935</w:t>
      </w:r>
      <w:r w:rsidR="009A4A04" w:rsidRP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ներդրում: 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յին ծրագրի շրջանակում ստեղծել </w:t>
      </w:r>
      <w:r w:rsidR="00D137BA" w:rsidRPr="00D13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188 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աշխատատեղ՝ </w:t>
      </w:r>
      <w:r w:rsidR="00D137BA" w:rsidRPr="00D13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400 000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DC5083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 </w:t>
      </w:r>
      <w:r w:rsidR="00597188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A4A04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</w:t>
      </w:r>
      <w:r w:rsidR="00DC5083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9F0AFD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331 318 մլն</w:t>
      </w:r>
      <w:r w:rsidR="009A4A04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866300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</w:t>
      </w:r>
      <w:r w:rsidR="00D30F15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66 264 մլն</w:t>
      </w:r>
      <w:r w:rsidR="0059240A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դրամ</w:t>
      </w:r>
      <w:r w:rsidR="00E661F1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51E1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866300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տարածքում, </w:t>
      </w:r>
      <w:r w:rsidR="00D30F15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265 054 մլն</w:t>
      </w:r>
      <w:r w:rsidR="009A4A04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63C70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արտադրանքը՝</w:t>
      </w:r>
      <w:r w:rsidR="00A53531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E4A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</w:t>
      </w:r>
      <w:r w:rsidR="004F42F1" w:rsidRPr="003434B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տարածքում։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2048A1" w:rsidRPr="00081D7A">
        <w:rPr>
          <w:rFonts w:ascii="GHEA Grapalat" w:hAnsi="GHEA Grapalat"/>
          <w:lang w:val="hy-AM"/>
        </w:rPr>
        <w:t>«</w:t>
      </w:r>
      <w:r w:rsidR="002048A1" w:rsidRPr="004A5457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>Արմենիան Տոբակո Քոմփանի</w:t>
      </w:r>
      <w:r w:rsidR="002048A1" w:rsidRPr="00081D7A">
        <w:rPr>
          <w:rFonts w:ascii="GHEA Grapalat" w:hAnsi="GHEA Grapalat"/>
          <w:lang w:val="hy-AM"/>
        </w:rPr>
        <w:t>»</w:t>
      </w:r>
      <w:r w:rsidR="002048A1" w:rsidRPr="002048A1">
        <w:rPr>
          <w:rFonts w:ascii="GHEA Grapalat" w:hAnsi="GHEA Grapalat"/>
          <w:lang w:val="hy-AM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B9" w:rsidRDefault="007104B9">
      <w:pPr>
        <w:spacing w:after="0" w:line="240" w:lineRule="auto"/>
      </w:pPr>
      <w:r>
        <w:separator/>
      </w:r>
    </w:p>
  </w:endnote>
  <w:endnote w:type="continuationSeparator" w:id="0">
    <w:p w:rsidR="007104B9" w:rsidRDefault="0071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7104B9">
    <w:pPr>
      <w:pStyle w:val="Footer"/>
    </w:pPr>
  </w:p>
  <w:p w:rsidR="001918A3" w:rsidRDefault="007104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B9" w:rsidRDefault="007104B9">
      <w:pPr>
        <w:spacing w:after="0" w:line="240" w:lineRule="auto"/>
      </w:pPr>
      <w:r>
        <w:separator/>
      </w:r>
    </w:p>
  </w:footnote>
  <w:footnote w:type="continuationSeparator" w:id="0">
    <w:p w:rsidR="007104B9" w:rsidRDefault="00710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155EC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48A1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C2FAB"/>
    <w:rsid w:val="002C791D"/>
    <w:rsid w:val="002D4728"/>
    <w:rsid w:val="002D6B8F"/>
    <w:rsid w:val="002E3AA5"/>
    <w:rsid w:val="002F2162"/>
    <w:rsid w:val="00306341"/>
    <w:rsid w:val="00306A05"/>
    <w:rsid w:val="00315883"/>
    <w:rsid w:val="0032774D"/>
    <w:rsid w:val="003337EB"/>
    <w:rsid w:val="003422CA"/>
    <w:rsid w:val="003434B4"/>
    <w:rsid w:val="00345303"/>
    <w:rsid w:val="003470BA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97A52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14CA4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5F2FDE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2C6F"/>
    <w:rsid w:val="006A3107"/>
    <w:rsid w:val="006A7578"/>
    <w:rsid w:val="006B428B"/>
    <w:rsid w:val="006C00BD"/>
    <w:rsid w:val="006C0B32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104B9"/>
    <w:rsid w:val="00711147"/>
    <w:rsid w:val="007154E3"/>
    <w:rsid w:val="00716490"/>
    <w:rsid w:val="007174AB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D098D"/>
    <w:rsid w:val="007D60FE"/>
    <w:rsid w:val="007E4E35"/>
    <w:rsid w:val="007E5300"/>
    <w:rsid w:val="007F5E34"/>
    <w:rsid w:val="008077CA"/>
    <w:rsid w:val="00810DCE"/>
    <w:rsid w:val="00822530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47A2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A4A04"/>
    <w:rsid w:val="009B02D4"/>
    <w:rsid w:val="009B2026"/>
    <w:rsid w:val="009C0820"/>
    <w:rsid w:val="009C0CD8"/>
    <w:rsid w:val="009C7315"/>
    <w:rsid w:val="009E1B12"/>
    <w:rsid w:val="009E45CA"/>
    <w:rsid w:val="009E7A4B"/>
    <w:rsid w:val="009F0AFD"/>
    <w:rsid w:val="009F41EE"/>
    <w:rsid w:val="009F59EE"/>
    <w:rsid w:val="00A124C3"/>
    <w:rsid w:val="00A162A0"/>
    <w:rsid w:val="00A334D0"/>
    <w:rsid w:val="00A3455C"/>
    <w:rsid w:val="00A41CB1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137BA"/>
    <w:rsid w:val="00D26B36"/>
    <w:rsid w:val="00D30F15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https://mul-mineconomy.gov.am/tasks/docs/attachment.php?id=183797&amp;fn=Ezrakacutyun.docx&amp;out=1&amp;token=</cp:keywords>
  <cp:lastModifiedBy>Marianna G. Kupelyan</cp:lastModifiedBy>
  <cp:revision>17</cp:revision>
  <dcterms:created xsi:type="dcterms:W3CDTF">2018-12-20T10:16:00Z</dcterms:created>
  <dcterms:modified xsi:type="dcterms:W3CDTF">2018-12-20T14:04:00Z</dcterms:modified>
</cp:coreProperties>
</file>