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titleStyle"/>
      </w:pPr>
      <w:bookmarkStart w:id="1" w:name="_Toc1"/>
      <w:r>
        <w:t>Ամփոփաթերթ</w:t>
      </w:r>
      <w:bookmarkEnd w:id="1"/>
    </w:p>
    <w:p>
      <w:pPr>
        <w:pStyle w:val="HeadingtitleStyle"/>
      </w:pPr>
      <w:bookmarkStart w:id="2" w:name="_Toc2"/>
      <w:r>
        <w:t>ՀԱՅԱՍՏԱՆԻ ՀԱՆՐԱՊԵՏՈՒԹՅԱՆ ԿԱՌԱՎԱՐՈՒԹՅԱՆ 2016 ԹՎԱԿԱՆԻ ՆՈՅԵՄԲԵՐԻ  18-Ի N 1209-Ն ՈՐՈՇՄԱՆ ՄԵՋ ՓՈՓՈԽՈՒԹՅՈՒՆՆԵՐ ԿԱՏԱՐԵԼՈՒ ՄԱՍԻՆ նախագծի վերաբերյալ</w:t>
      </w:r>
      <w:bookmarkEnd w:id="2"/>
    </w:p>
    <w:p>
      <w:pPr/>
      <w:r>
        <w:rPr/>
        <w:t xml:space="preserve"/>
      </w:r>
    </w:p>
    <w:p>
      <w:pPr/>
      <w:r>
        <w:rPr/>
        <w:t xml:space="preserve"/>
      </w:r>
    </w:p>
    <w:p>
      <w:pPr/>
      <w:r>
        <w:rPr/>
        <w:t xml:space="preserve"/>
      </w:r>
    </w:p>
    <w:tbl>
      <w:tblGrid>
        <w:gridCol w:w="500" w:type="dxa"/>
        <w:gridCol w:w="2250" w:type="dxa"/>
        <w:gridCol w:w="5200" w:type="dxa"/>
        <w:gridCol w:w="3800" w:type="dxa"/>
        <w:gridCol w:w="3000" w:type="dxa"/>
      </w:tblGrid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հ/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Եզրակացություն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Կատարված փոփոխությունը</w:t>
            </w:r>
          </w:p>
        </w:tc>
      </w:tr>
      <w:tr>
        <w:trPr/>
        <w:tc>
          <w:tcPr>
            <w:tcW w:w="5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  <w:tc>
          <w:tcPr>
            <w:tcW w:w="22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1</w:t>
            </w:r>
          </w:p>
        </w:tc>
        <w:tc>
          <w:tcPr>
            <w:tcW w:w="52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</w:t>
            </w:r>
          </w:p>
        </w:tc>
        <w:tc>
          <w:tcPr>
            <w:tcW w:w="38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3</w:t>
            </w:r>
          </w:p>
        </w:tc>
        <w:tc>
          <w:tcPr>
            <w:tcW w:w="30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4</w:t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1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Անի Գալստյան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25.09.2017 14:42:12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Հաշվի առնելով Արդշինբանկի կողմից առաջարկվող ծառայությունների և սպասարկման ցածր որակը՝ առաջարկում եմ ծրագրի հիփոթեքային ֆինանսավորումը իրականացնել մի քանի բանկերի միջոցով, այլ ոչ թե միայն Արդշինբանկի: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Vahagn Melik-Parsadanyan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25.09.2017 09:14:19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Առաջարկում եմ կառավարության վերոնշյալ փաստաթղթի 7-րդ բաժնում սահմանել չվերանորոգված բնակարանի մանրամասն նկարագիրը. պատերի գաջապատում, հատակի հարթեցում, պատուհանների տեղադրում, հոսանքի լարերի առկայություն...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3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Արսեն Գրիգորյան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22.09.2017 13:17:10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Առաջարկում եմ  Կառավարության վերոնշյալ որոշման 20-րդ կետում կատարել լրացում, որով վարկատուն պարտավորվում է պայմանագրի գործողության ընթացքում համապատասխան եկամուտ հիմնավորող փաստաթղթերի առկայության դեպքում որպես համավարկառու ճանաչել շահառուի ընտանիքի անդամներին։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4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Արսեն Գրիգորյան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22.09.2017 13:17:10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Հաշվի առնելով Ադոնց 6/1-ում առաջացած խնդիրները՝ առաջարկում եմ 7-րդ բաժնի 2-րդ կետում կատարել լրացում, որ  հիմնական պայմանագրի կնքումից 5 աշխատանքային օրվա ընթացքում կառուցապատողը պարտավոր է շահառուների մասնակցությամբ ապահովել բնակարաններում էլեկտրական էներգիայի  և ջրամատակարարումը և համապատասխան ծառայությունների հետ բաժանորդային պայմանագրերի կնքումը ։ Հակառակ դեպքում ստացվում է, որ հիմնական պայմանագրի կնքմամբ շահառուն ստանում է բնակարան, սակայն օրինակ առանց էլեկտրաէներգիայի մատակարարման և ՀԷՑ-ի հետ բաժանորդային պայմանագրի կնքումը կարող է տևել մինչև 365 օր, որը կարող է մոտ այդքան ժամանակով հետաձգել շահառուի կողմից բնակարանի օգտագործումը։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5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Արսեն Գրիգորյան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22.09.2017 13:17:10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Կրկին հաշվի առնելով Ադոնց 6/1-ում առաջացած խնդիրները՝ առաջարկում եմ 28-րդ կետի 8) ենթակետում կատարել լրացում, որ նշված ժամկետից ուշ հիմնական պայմանագրի կնքման դեպքում շահառուներին վճարվում է տույժ պայմանագրի գումարի նկատմամբ ԿԲ բանկային տոկոսի հաշվարկային դրույքի կրկնապատիկի1/365 չափով յուրաքանչյուր ուշացված օրվա համար։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6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Արսեն Գրիգորյան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22.09.2017 13:17:10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Հաշվի առնելով այն հանգամանքը, որ Ադոնց 6/1-ում հիմնական պայմանագրի կնքման փուլում բնակարանների փաստացի գրանցված մակերեսը շատ դեպքերում տարբերվել է նախագծային մակերեսից՝ առաջարկում եմ Կառավարության վերոնշյալ որոշման 28-րդ կետի 2) ենթակետում կատարել լրացում, որ բնակարանի գրանցված մակերեսի և նախագծային մակերեսի միջև տարբերությունը չի կարող գերազանցել 3 քմ-ն։
Հակառակ դեպքում օրինակ՝ շահառուն կարող է պայմանագիր կնքել 70քմ բնակարանի համար, սակայն փաստացի գրանցված մակերեսը կարող է լինել օրինակ 170քմ՝ առաջացնելով նշանակալի ֆինանսական խնդիրներ շահառուի համար։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</w:tr>
    </w:tbl>
    <w:sectPr>
      <w:pgSz w:orient="landscape" w:w="16787" w:h="11870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titleStyle">
    <w:link w:val="HeadingtitleStyleChar"/>
    <w:name w:val="heading titleStyle"/>
    <w:basedOn w:val="Normal"/>
    <w:pPr>
      <w:jc w:val="center"/>
    </w:pPr>
    <w:rPr>
      <w:rFonts w:ascii="GHEA Grapalat" w:hAnsi="GHEA Grapalat" w:eastAsia="GHEA Grapalat" w:cs="GHEA Grapalat"/>
      <w:color w:val="000000"/>
      <w:sz w:val="28"/>
      <w:szCs w:val="28"/>
      <w:b/>
      <w: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2017-10-09T15:22:44+04:00</dcterms:created>
  <dcterms:modified xsi:type="dcterms:W3CDTF">2017-10-09T15:22:44+04:00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