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B5" w:rsidRPr="00716185" w:rsidRDefault="006446B5" w:rsidP="003B6F55">
      <w:pPr>
        <w:ind w:left="540" w:firstLine="900"/>
        <w:jc w:val="right"/>
        <w:rPr>
          <w:szCs w:val="24"/>
          <w:lang w:val="hy-AM"/>
        </w:rPr>
      </w:pPr>
    </w:p>
    <w:p w:rsidR="008F611E" w:rsidRPr="00716185" w:rsidRDefault="007A45E2" w:rsidP="003B6F55">
      <w:pPr>
        <w:ind w:left="540" w:firstLine="900"/>
        <w:jc w:val="right"/>
        <w:rPr>
          <w:szCs w:val="24"/>
        </w:rPr>
      </w:pPr>
      <w:r w:rsidRPr="00716185">
        <w:rPr>
          <w:szCs w:val="24"/>
          <w:lang w:val="hy-AM"/>
        </w:rPr>
        <w:t>ՆԱԽԱԳԻԾ</w:t>
      </w:r>
    </w:p>
    <w:p w:rsidR="008F611E" w:rsidRPr="00716185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4"/>
          <w:lang w:eastAsia="ru-RU"/>
        </w:rPr>
      </w:pPr>
      <w:r w:rsidRPr="00716185">
        <w:rPr>
          <w:rFonts w:eastAsia="Times New Roman"/>
          <w:b/>
          <w:bCs/>
          <w:color w:val="000000"/>
          <w:szCs w:val="24"/>
          <w:lang w:val="ru-RU" w:eastAsia="ru-RU"/>
        </w:rPr>
        <w:t>ՀԱՅԱՍՏԱՆԻ</w:t>
      </w:r>
      <w:r w:rsidRPr="0071618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716185">
        <w:rPr>
          <w:rFonts w:eastAsia="Times New Roman"/>
          <w:b/>
          <w:bCs/>
          <w:color w:val="000000"/>
          <w:szCs w:val="24"/>
          <w:lang w:val="ru-RU" w:eastAsia="ru-RU"/>
        </w:rPr>
        <w:t>ՀԱՆՐԱՊԵՏՈՒԹՅԱՆ</w:t>
      </w:r>
      <w:r w:rsidRPr="0071618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716185">
        <w:rPr>
          <w:rFonts w:eastAsia="Times New Roman"/>
          <w:b/>
          <w:bCs/>
          <w:color w:val="000000"/>
          <w:szCs w:val="24"/>
          <w:lang w:val="ru-RU" w:eastAsia="ru-RU"/>
        </w:rPr>
        <w:t>ԿԱՌԱՎԱՐՈՒԹՅՈՒՆ</w:t>
      </w:r>
    </w:p>
    <w:p w:rsidR="008F611E" w:rsidRPr="00716185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4"/>
          <w:lang w:eastAsia="ru-RU"/>
        </w:rPr>
      </w:pPr>
      <w:r w:rsidRPr="00716185">
        <w:rPr>
          <w:rFonts w:ascii="Courier New" w:eastAsia="Times New Roman" w:hAnsi="Courier New" w:cs="Courier New"/>
          <w:color w:val="000000"/>
          <w:szCs w:val="24"/>
          <w:lang w:eastAsia="ru-RU"/>
        </w:rPr>
        <w:t> </w:t>
      </w:r>
    </w:p>
    <w:p w:rsidR="008F611E" w:rsidRPr="00716185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4"/>
          <w:lang w:eastAsia="ru-RU"/>
        </w:rPr>
      </w:pPr>
      <w:r w:rsidRPr="00716185">
        <w:rPr>
          <w:rFonts w:eastAsia="Times New Roman"/>
          <w:b/>
          <w:bCs/>
          <w:color w:val="000000"/>
          <w:szCs w:val="24"/>
          <w:lang w:val="ru-RU" w:eastAsia="ru-RU"/>
        </w:rPr>
        <w:t>Ո</w:t>
      </w:r>
      <w:r w:rsidRPr="0071618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716185">
        <w:rPr>
          <w:rFonts w:eastAsia="Times New Roman"/>
          <w:b/>
          <w:bCs/>
          <w:color w:val="000000"/>
          <w:szCs w:val="24"/>
          <w:lang w:val="ru-RU" w:eastAsia="ru-RU"/>
        </w:rPr>
        <w:t>Ր</w:t>
      </w:r>
      <w:r w:rsidRPr="0071618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716185">
        <w:rPr>
          <w:rFonts w:eastAsia="Times New Roman"/>
          <w:b/>
          <w:bCs/>
          <w:color w:val="000000"/>
          <w:szCs w:val="24"/>
          <w:lang w:val="ru-RU" w:eastAsia="ru-RU"/>
        </w:rPr>
        <w:t>Ո</w:t>
      </w:r>
      <w:r w:rsidRPr="0071618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716185">
        <w:rPr>
          <w:rFonts w:eastAsia="Times New Roman"/>
          <w:b/>
          <w:bCs/>
          <w:color w:val="000000"/>
          <w:szCs w:val="24"/>
          <w:lang w:val="ru-RU" w:eastAsia="ru-RU"/>
        </w:rPr>
        <w:t>Շ</w:t>
      </w:r>
      <w:r w:rsidRPr="0071618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716185">
        <w:rPr>
          <w:rFonts w:eastAsia="Times New Roman"/>
          <w:b/>
          <w:bCs/>
          <w:color w:val="000000"/>
          <w:szCs w:val="24"/>
          <w:lang w:val="ru-RU" w:eastAsia="ru-RU"/>
        </w:rPr>
        <w:t>ՈՒ</w:t>
      </w:r>
      <w:r w:rsidRPr="0071618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716185">
        <w:rPr>
          <w:rFonts w:eastAsia="Times New Roman"/>
          <w:b/>
          <w:bCs/>
          <w:color w:val="000000"/>
          <w:szCs w:val="24"/>
          <w:lang w:val="ru-RU" w:eastAsia="ru-RU"/>
        </w:rPr>
        <w:t>Մ</w:t>
      </w:r>
    </w:p>
    <w:p w:rsidR="008F611E" w:rsidRPr="00716185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4"/>
          <w:lang w:eastAsia="ru-RU"/>
        </w:rPr>
      </w:pPr>
      <w:r w:rsidRPr="00716185">
        <w:rPr>
          <w:rFonts w:ascii="Courier New" w:eastAsia="Times New Roman" w:hAnsi="Courier New" w:cs="Courier New"/>
          <w:color w:val="000000"/>
          <w:szCs w:val="24"/>
          <w:lang w:eastAsia="ru-RU"/>
        </w:rPr>
        <w:t> </w:t>
      </w:r>
    </w:p>
    <w:p w:rsidR="008F611E" w:rsidRPr="00716185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Courier New"/>
          <w:color w:val="000000"/>
          <w:szCs w:val="24"/>
          <w:lang w:val="hy-AM" w:eastAsia="ru-RU"/>
        </w:rPr>
      </w:pPr>
      <w:r w:rsidRPr="00716185">
        <w:rPr>
          <w:rFonts w:ascii="Courier New" w:eastAsia="Times New Roman" w:hAnsi="Courier New" w:cs="Courier New"/>
          <w:color w:val="000000"/>
          <w:szCs w:val="24"/>
          <w:lang w:eastAsia="ru-RU"/>
        </w:rPr>
        <w:t> </w:t>
      </w:r>
      <w:r w:rsidR="006E1A8D" w:rsidRPr="00716185">
        <w:rPr>
          <w:szCs w:val="24"/>
          <w:lang w:val="af-ZA"/>
        </w:rPr>
        <w:t xml:space="preserve">2018 </w:t>
      </w:r>
      <w:r w:rsidR="006E1A8D" w:rsidRPr="00716185">
        <w:rPr>
          <w:szCs w:val="24"/>
        </w:rPr>
        <w:t>թվականի</w:t>
      </w:r>
      <w:r w:rsidR="006E1A8D" w:rsidRPr="00716185">
        <w:rPr>
          <w:szCs w:val="24"/>
          <w:lang w:val="af-ZA"/>
        </w:rPr>
        <w:t xml:space="preserve"> ______________ -</w:t>
      </w:r>
      <w:r w:rsidR="006E1A8D" w:rsidRPr="00716185">
        <w:rPr>
          <w:szCs w:val="24"/>
        </w:rPr>
        <w:t>ի</w:t>
      </w:r>
      <w:r w:rsidR="006E1A8D" w:rsidRPr="00716185">
        <w:rPr>
          <w:szCs w:val="24"/>
          <w:lang w:val="af-ZA"/>
        </w:rPr>
        <w:t xml:space="preserve">   N -  </w:t>
      </w:r>
      <w:r w:rsidR="003E1004" w:rsidRPr="00716185">
        <w:rPr>
          <w:szCs w:val="24"/>
          <w:lang w:val="af-ZA"/>
        </w:rPr>
        <w:t>Ա</w:t>
      </w:r>
    </w:p>
    <w:p w:rsidR="006C5919" w:rsidRPr="00716185" w:rsidRDefault="006C5919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Cs w:val="24"/>
          <w:lang w:val="hy-AM" w:eastAsia="ru-RU"/>
        </w:rPr>
      </w:pPr>
    </w:p>
    <w:p w:rsidR="00137898" w:rsidRPr="00716185" w:rsidRDefault="00137898" w:rsidP="00137898">
      <w:pPr>
        <w:pStyle w:val="ListParagraph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161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</w:t>
      </w:r>
      <w:r w:rsidR="00D76C84" w:rsidRPr="007161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ՊԵՏՈՒԹՅԱՆ ՏԱՎՈՒՇԻ ՄԱՐԶԻ ԴԻԼԻՋԱՆ</w:t>
      </w:r>
      <w:r w:rsidRPr="007161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ՀԱՄԱՅՆՔԻ ՎԱՐՉԱԿԱՆ ՏԱՐԱԾՔՈՒՄ ԳՏՆՎՈՂ` ՊԵՏԱԿԱՆ ՍԵՓԱԿԱՆՈՒԹՅՈՒՆ ՀԱՄԱՐՎՈՂ ԱՆՇԱՐԺ ԳՈՒՅՔԻ ՄԱՍՆԱՎՈՐԵՑՈՒՄԻՑ ՍՏԱՑՎԱԾ ՄԻՋՈՑՆԵՐԻ ՏՆՕՐԻՆՄԱՆ ԾՐԱԳՐԻՆ ՀԱՄԱՁԱՅՆՈՒԹՅՈՒՆ ՏԱԼՈՒ ՄԱՍԻՆ</w:t>
      </w:r>
    </w:p>
    <w:p w:rsidR="00137898" w:rsidRPr="00716185" w:rsidRDefault="00137898" w:rsidP="00137898">
      <w:pPr>
        <w:pStyle w:val="ListParagrap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16185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137898" w:rsidRPr="00716185" w:rsidRDefault="00137898" w:rsidP="003B1B60">
      <w:pPr>
        <w:pStyle w:val="ListParagraph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Համաձայն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«Տեղական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ինքնակառավարման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մասին»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86-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րդ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հոդվածի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և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կառավարության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2006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թվականի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հուլիսի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27-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ի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N 1098-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Ն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որոշմամբ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հաստատված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կարգի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7-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րդ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կետի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կառավարությունը</w:t>
      </w:r>
      <w:r w:rsidRPr="0071618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16185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716185">
        <w:rPr>
          <w:rFonts w:ascii="GHEA Grapalat" w:hAnsi="GHEA Grapalat"/>
          <w:color w:val="000000"/>
          <w:sz w:val="24"/>
          <w:szCs w:val="24"/>
          <w:lang w:val="hy-AM"/>
        </w:rPr>
        <w:t>.</w:t>
      </w:r>
      <w:bookmarkStart w:id="0" w:name="_GoBack"/>
      <w:bookmarkEnd w:id="0"/>
    </w:p>
    <w:p w:rsidR="00137898" w:rsidRPr="00716185" w:rsidRDefault="00137898" w:rsidP="003376ED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Համաձայնություն տալ Հայաստանի Հանրա</w:t>
      </w:r>
      <w:r w:rsidR="00C95EDE"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պետության Տավուշի մարզի Դիլիջան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համայնքի </w:t>
      </w:r>
      <w:r w:rsidR="00914282"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վարչական տարածքում գտնվող՝ պետական սեփականություն համարվող «Դիլիջան» մանկական հակատուբերկուլյոզային առողջարան» փակ բաժնետիրական ընկերության </w:t>
      </w:r>
      <w:r w:rsidR="00646821"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բաժնետոմսերի ուղղակի վաճառքի արդյունքում </w:t>
      </w:r>
      <w:r w:rsidR="00C95EDE"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Դիլիջան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համայնքի ֆոնդային բյուջե մուտքագրված </w:t>
      </w:r>
      <w:r w:rsidR="000104CF"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40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,3</w:t>
      </w:r>
      <w:r w:rsidR="000104CF"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26.1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հազ. դրամ ֆինանսական</w:t>
      </w:r>
      <w:r w:rsidR="00C95EDE"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միջոցները Դիլիջան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համայնքի </w:t>
      </w:r>
      <w:r w:rsidR="000104CF"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Թախտա թաղամաս տանող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0104CF"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ճանապարհի հիմնա</w:t>
      </w:r>
      <w:r w:rsidRPr="00716185">
        <w:rPr>
          <w:rFonts w:ascii="GHEA Grapalat" w:hAnsi="GHEA Grapalat" w:cs="Arial Unicode"/>
          <w:color w:val="000000"/>
          <w:sz w:val="24"/>
          <w:szCs w:val="24"/>
          <w:lang w:val="hy-AM"/>
        </w:rPr>
        <w:t>նորոգման աշխատանքների իրականացմանն ուղղելու ծրագրին:</w:t>
      </w:r>
    </w:p>
    <w:p w:rsidR="00985809" w:rsidRPr="00716185" w:rsidRDefault="00985809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4"/>
          <w:lang w:val="hy-AM" w:eastAsia="ru-RU"/>
        </w:rPr>
      </w:pPr>
    </w:p>
    <w:p w:rsidR="008F611E" w:rsidRPr="00716185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4"/>
          <w:lang w:val="hy-AM" w:eastAsia="ru-RU"/>
        </w:rPr>
      </w:pPr>
      <w:r w:rsidRPr="00716185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</w:p>
    <w:tbl>
      <w:tblPr>
        <w:tblW w:w="5109" w:type="pct"/>
        <w:tblCellSpacing w:w="0" w:type="dxa"/>
        <w:tblInd w:w="-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6750"/>
      </w:tblGrid>
      <w:tr w:rsidR="008F611E" w:rsidRPr="00716185" w:rsidTr="0017052D">
        <w:trPr>
          <w:trHeight w:val="508"/>
          <w:tblCellSpacing w:w="0" w:type="dxa"/>
        </w:trPr>
        <w:tc>
          <w:tcPr>
            <w:tcW w:w="4561" w:type="dxa"/>
            <w:shd w:val="clear" w:color="auto" w:fill="FFFFFF"/>
            <w:vAlign w:val="center"/>
            <w:hideMark/>
          </w:tcPr>
          <w:p w:rsidR="008F611E" w:rsidRPr="00716185" w:rsidRDefault="008F611E" w:rsidP="0076589B">
            <w:pPr>
              <w:spacing w:before="100" w:beforeAutospacing="1" w:after="100" w:afterAutospacing="1" w:line="240" w:lineRule="auto"/>
              <w:ind w:left="630"/>
              <w:jc w:val="center"/>
              <w:rPr>
                <w:rFonts w:eastAsia="Times New Roman"/>
                <w:color w:val="000000"/>
                <w:szCs w:val="24"/>
                <w:lang w:val="hy-AM" w:eastAsia="ru-RU"/>
              </w:rPr>
            </w:pPr>
            <w:r w:rsidRPr="00716185">
              <w:rPr>
                <w:rFonts w:eastAsia="Times New Roman"/>
                <w:b/>
                <w:bCs/>
                <w:color w:val="000000"/>
                <w:szCs w:val="24"/>
                <w:lang w:val="hy-AM" w:eastAsia="ru-RU"/>
              </w:rPr>
              <w:t>Հայաստանի Հանրապետության</w:t>
            </w:r>
            <w:r w:rsidRPr="00716185">
              <w:rPr>
                <w:rFonts w:eastAsia="Times New Roman"/>
                <w:b/>
                <w:bCs/>
                <w:color w:val="000000"/>
                <w:szCs w:val="24"/>
                <w:lang w:val="hy-AM"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A5AE1" w:rsidRPr="00716185" w:rsidRDefault="00DE17E5" w:rsidP="00DE17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16185">
              <w:rPr>
                <w:rFonts w:eastAsia="Times New Roman"/>
                <w:b/>
                <w:bCs/>
                <w:color w:val="000000"/>
                <w:szCs w:val="24"/>
                <w:lang w:val="hy-AM" w:eastAsia="ru-RU"/>
              </w:rPr>
              <w:t xml:space="preserve">                </w:t>
            </w:r>
          </w:p>
          <w:p w:rsidR="008F611E" w:rsidRPr="00716185" w:rsidRDefault="00DE17E5" w:rsidP="00DE17E5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hy-AM" w:eastAsia="ru-RU"/>
              </w:rPr>
            </w:pPr>
            <w:r w:rsidRPr="00716185">
              <w:rPr>
                <w:rFonts w:eastAsia="Times New Roman"/>
                <w:b/>
                <w:bCs/>
                <w:color w:val="000000"/>
                <w:szCs w:val="24"/>
                <w:lang w:val="hy-AM" w:eastAsia="ru-RU"/>
              </w:rPr>
              <w:t xml:space="preserve">                           </w:t>
            </w:r>
            <w:r w:rsidR="00601B55" w:rsidRPr="0071618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                </w:t>
            </w:r>
            <w:r w:rsidRPr="00716185">
              <w:rPr>
                <w:rFonts w:eastAsia="Times New Roman"/>
                <w:b/>
                <w:bCs/>
                <w:color w:val="000000"/>
                <w:szCs w:val="24"/>
                <w:lang w:val="hy-AM" w:eastAsia="ru-RU"/>
              </w:rPr>
              <w:t>Ն</w:t>
            </w:r>
            <w:r w:rsidR="008F611E" w:rsidRPr="00716185">
              <w:rPr>
                <w:rFonts w:eastAsia="Times New Roman"/>
                <w:b/>
                <w:bCs/>
                <w:color w:val="000000"/>
                <w:szCs w:val="24"/>
                <w:lang w:val="ru-RU" w:eastAsia="ru-RU"/>
              </w:rPr>
              <w:t xml:space="preserve">. </w:t>
            </w:r>
            <w:r w:rsidRPr="00716185">
              <w:rPr>
                <w:rFonts w:eastAsia="Times New Roman"/>
                <w:b/>
                <w:bCs/>
                <w:color w:val="000000"/>
                <w:szCs w:val="24"/>
                <w:lang w:val="hy-AM" w:eastAsia="ru-RU"/>
              </w:rPr>
              <w:t>Փաշինյան</w:t>
            </w:r>
          </w:p>
        </w:tc>
      </w:tr>
      <w:tr w:rsidR="00985809" w:rsidRPr="00716185" w:rsidTr="0017052D">
        <w:trPr>
          <w:trHeight w:val="332"/>
          <w:tblCellSpacing w:w="0" w:type="dxa"/>
        </w:trPr>
        <w:tc>
          <w:tcPr>
            <w:tcW w:w="4561" w:type="dxa"/>
            <w:shd w:val="clear" w:color="auto" w:fill="FFFFFF"/>
            <w:vAlign w:val="center"/>
          </w:tcPr>
          <w:p w:rsidR="00985809" w:rsidRPr="00716185" w:rsidRDefault="00985809" w:rsidP="008B43B8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000000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985809" w:rsidRPr="00716185" w:rsidRDefault="00985809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3A5AE1" w:rsidRPr="00716185" w:rsidRDefault="003A5AE1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3A5AE1" w:rsidRPr="00716185" w:rsidRDefault="003A5AE1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854692" w:rsidRPr="00716185" w:rsidRDefault="00854692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p w:rsidR="00806395" w:rsidRPr="00716185" w:rsidRDefault="00806395" w:rsidP="00806395">
      <w:pPr>
        <w:jc w:val="center"/>
        <w:rPr>
          <w:rFonts w:cs="Sylfaen"/>
          <w:b/>
          <w:szCs w:val="24"/>
        </w:rPr>
      </w:pPr>
      <w:r w:rsidRPr="00716185">
        <w:rPr>
          <w:rFonts w:cs="Sylfaen"/>
          <w:b/>
          <w:szCs w:val="24"/>
          <w:lang w:val="hy-AM"/>
        </w:rPr>
        <w:t>ՏԵՂԵԿԱՆՔ-ՀԻՄՆԱՎՈՐՈՒՄ</w:t>
      </w:r>
    </w:p>
    <w:p w:rsidR="00CB1C45" w:rsidRPr="00716185" w:rsidRDefault="00CB1C45" w:rsidP="004349CD">
      <w:pPr>
        <w:pStyle w:val="ListParagraph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161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</w:t>
      </w:r>
      <w:r w:rsidR="00C95EDE" w:rsidRPr="007161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ՊԵՏՈՒԹՅԱՆ ՏԱՎՈՒՇԻ ՄԱՐԶԻ ԴԻԼԻՋԱՆ</w:t>
      </w:r>
      <w:r w:rsidRPr="007161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ՀԱՄԱՅՆՔԻ ՎԱՐՉԱԿԱՆ ՏԱՐԱԾՔՈՒՄ ԳՏՆՎՈՂ` ՊԵՏԱԿԱՆ ՍԵՓԱԿԱՆՈՒԹՅՈՒՆ ՀԱՄԱՐՎՈՂ ԱՆՇԱՐԺ ԳՈՒՅՔԻ ՄԱՍՆԱՎՈՐԵՑՈՒՄԻՑ ՍՏԱՑՎԱԾ ՄԻՋՈՑՆԵՐԻ ՏՆՕՐԻՆՄԱՆ ԾՐԱԳՐԻՆ ՀԱՄԱՁԱՅՆՈՒԹՅՈՒՆ ՏԱԼՈՒ ՄԱՍԻՆ</w:t>
      </w:r>
    </w:p>
    <w:p w:rsidR="00CB1C45" w:rsidRPr="00716185" w:rsidRDefault="00CB1C45" w:rsidP="00CB1C45">
      <w:pPr>
        <w:pStyle w:val="ListParagrap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16185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</w:p>
    <w:tbl>
      <w:tblPr>
        <w:tblpPr w:leftFromText="180" w:rightFromText="180" w:vertAnchor="text" w:horzAnchor="margin" w:tblpXSpec="center" w:tblpY="598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9574"/>
      </w:tblGrid>
      <w:tr w:rsidR="00806395" w:rsidRPr="00716185" w:rsidTr="00806395">
        <w:trPr>
          <w:trHeight w:val="36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spacing w:after="0" w:line="240" w:lineRule="auto"/>
              <w:ind w:right="-540"/>
              <w:jc w:val="both"/>
              <w:rPr>
                <w:szCs w:val="24"/>
                <w:lang w:val="hy-AM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716185">
              <w:rPr>
                <w:b/>
                <w:szCs w:val="24"/>
              </w:rPr>
              <w:t>Իրավական ակտի հիմնավորումը</w:t>
            </w:r>
          </w:p>
        </w:tc>
      </w:tr>
      <w:tr w:rsidR="00806395" w:rsidRPr="00716185" w:rsidTr="00806395">
        <w:trPr>
          <w:trHeight w:val="41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ind w:right="-540"/>
              <w:jc w:val="both"/>
              <w:rPr>
                <w:szCs w:val="24"/>
              </w:rPr>
            </w:pPr>
            <w:r w:rsidRPr="00716185">
              <w:rPr>
                <w:szCs w:val="24"/>
              </w:rPr>
              <w:t>1.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jc w:val="both"/>
              <w:rPr>
                <w:b/>
                <w:szCs w:val="24"/>
              </w:rPr>
            </w:pPr>
            <w:r w:rsidRPr="00716185">
              <w:rPr>
                <w:b/>
                <w:szCs w:val="24"/>
              </w:rPr>
              <w:t xml:space="preserve">Ընթացիկ իրավիճակը և իրավական ակտի ընդունման անհրաժեշտությունը </w:t>
            </w:r>
          </w:p>
        </w:tc>
      </w:tr>
      <w:tr w:rsidR="00806395" w:rsidRPr="00716185" w:rsidTr="0080639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ind w:right="-540"/>
              <w:jc w:val="both"/>
              <w:rPr>
                <w:szCs w:val="24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ind w:firstLine="709"/>
              <w:jc w:val="both"/>
              <w:rPr>
                <w:rFonts w:cs="Sylfaen"/>
                <w:szCs w:val="24"/>
              </w:rPr>
            </w:pPr>
            <w:r w:rsidRPr="00716185">
              <w:rPr>
                <w:rFonts w:cs="Sylfaen"/>
                <w:szCs w:val="24"/>
                <w:lang w:val="hy-AM"/>
              </w:rPr>
              <w:t xml:space="preserve">Որոշման նախագծի ընդունումը պայմանավորված է այն հանգամանքով, </w:t>
            </w:r>
            <w:r w:rsidR="00CB1C45" w:rsidRPr="00716185">
              <w:rPr>
                <w:szCs w:val="24"/>
                <w:lang w:val="ru-RU"/>
              </w:rPr>
              <w:t>որ</w:t>
            </w:r>
            <w:r w:rsidR="00CB1C45" w:rsidRPr="00716185">
              <w:rPr>
                <w:szCs w:val="24"/>
              </w:rPr>
              <w:t xml:space="preserve"> </w:t>
            </w:r>
            <w:r w:rsidR="00CB1C45" w:rsidRPr="00716185">
              <w:rPr>
                <w:szCs w:val="24"/>
                <w:lang w:val="ru-RU"/>
              </w:rPr>
              <w:t>Դիլիջան</w:t>
            </w:r>
            <w:r w:rsidRPr="00716185">
              <w:rPr>
                <w:szCs w:val="24"/>
                <w:lang w:val="hy-AM"/>
              </w:rPr>
              <w:t xml:space="preserve"> </w:t>
            </w:r>
            <w:r w:rsidR="00CB1C45" w:rsidRPr="00716185">
              <w:rPr>
                <w:szCs w:val="24"/>
                <w:lang w:val="ru-RU"/>
              </w:rPr>
              <w:t>համայնքի</w:t>
            </w:r>
            <w:r w:rsidRPr="00716185">
              <w:rPr>
                <w:szCs w:val="24"/>
                <w:lang w:val="hy-AM"/>
              </w:rPr>
              <w:t xml:space="preserve"> </w:t>
            </w:r>
            <w:r w:rsidR="00CB1C45" w:rsidRPr="00716185">
              <w:rPr>
                <w:color w:val="000000"/>
                <w:szCs w:val="24"/>
                <w:lang w:val="hy-AM"/>
              </w:rPr>
              <w:t>Թախտա թաղամաս տանող ճանապարհ</w:t>
            </w:r>
            <w:r w:rsidR="00765812" w:rsidRPr="00716185">
              <w:rPr>
                <w:color w:val="000000"/>
                <w:szCs w:val="24"/>
              </w:rPr>
              <w:t>ը</w:t>
            </w:r>
            <w:r w:rsidRPr="00716185">
              <w:rPr>
                <w:rFonts w:cs="Sylfaen"/>
                <w:szCs w:val="24"/>
              </w:rPr>
              <w:t xml:space="preserve"> </w:t>
            </w:r>
            <w:r w:rsidR="00765812" w:rsidRPr="00716185">
              <w:rPr>
                <w:rFonts w:cs="Sylfaen"/>
                <w:szCs w:val="24"/>
              </w:rPr>
              <w:t>երկար տարիներ</w:t>
            </w:r>
            <w:r w:rsidRPr="00716185">
              <w:rPr>
                <w:rFonts w:cs="Sylfaen"/>
                <w:szCs w:val="24"/>
              </w:rPr>
              <w:t xml:space="preserve"> հիմնանորոգման չի ենթարկվել, ինչը դժվարություններ է առաջացնում փողոցային անվտանգ երթևեկության առումով։ </w:t>
            </w:r>
            <w:r w:rsidRPr="00716185">
              <w:rPr>
                <w:rFonts w:cs="Sylfaen"/>
                <w:szCs w:val="24"/>
                <w:lang w:val="hy-AM"/>
              </w:rPr>
              <w:t xml:space="preserve">Ծրագրի իրականացումը հնարավորություն կընձեռի </w:t>
            </w:r>
            <w:r w:rsidR="00CB1C45" w:rsidRPr="00716185">
              <w:rPr>
                <w:color w:val="000000"/>
                <w:szCs w:val="24"/>
                <w:lang w:val="hy-AM"/>
              </w:rPr>
              <w:t xml:space="preserve"> Թախտա թաղամաս տանող ճանապարհ</w:t>
            </w:r>
            <w:r w:rsidR="00CB1C45" w:rsidRPr="00716185">
              <w:rPr>
                <w:color w:val="000000"/>
                <w:szCs w:val="24"/>
                <w:lang w:val="ru-RU"/>
              </w:rPr>
              <w:t>ը</w:t>
            </w:r>
            <w:r w:rsidR="00CB1C45" w:rsidRPr="00716185">
              <w:rPr>
                <w:rFonts w:cs="Sylfaen"/>
                <w:szCs w:val="24"/>
              </w:rPr>
              <w:t xml:space="preserve"> </w:t>
            </w:r>
            <w:r w:rsidRPr="00716185">
              <w:rPr>
                <w:rFonts w:cs="Sylfaen"/>
                <w:szCs w:val="24"/>
              </w:rPr>
              <w:t xml:space="preserve">հիմնանորոգել՝ այն </w:t>
            </w:r>
            <w:r w:rsidRPr="00716185">
              <w:rPr>
                <w:rFonts w:cs="Sylfaen"/>
                <w:szCs w:val="24"/>
                <w:lang w:val="hy-AM"/>
              </w:rPr>
              <w:t xml:space="preserve"> համապատասխանեցնելով ժամանակի պահանջներին և չափորոշիչներին։</w:t>
            </w:r>
          </w:p>
          <w:p w:rsidR="0054550A" w:rsidRPr="00716185" w:rsidRDefault="0054550A" w:rsidP="00806395">
            <w:pPr>
              <w:ind w:firstLine="709"/>
              <w:jc w:val="both"/>
              <w:rPr>
                <w:rFonts w:cs="Sylfaen"/>
                <w:szCs w:val="24"/>
              </w:rPr>
            </w:pPr>
            <w:r w:rsidRPr="00716185">
              <w:rPr>
                <w:rFonts w:cs="Sylfaen"/>
                <w:szCs w:val="24"/>
              </w:rPr>
              <w:t>ՀՀ կառավարության 29.03.2018թ. թիվ 321-Ա որոշմամբ «Դիլիջան» մանկական հակատուբերկուլյոզային առողջարան» փակ բաժնետիրական ընկերության (գտնվելու վայրը՝ Հայաստանի Հանրապետության Տավուշի մարզ, քաղ. Դիլիջան, Օրջոնիկիձեի 5/1) 100 տոկոս պետական սեփականություն հանդիսացող բաժնետոմսերը  ուղղակի վաճառքի ձևով մասնավորեցվել է նախօրոք հայտնի գնորդ՝ «Առողջ ապագա բժշկական կենտրոն» սահմանափակ պատասխանատվությամբ ընկերությանը (մասնավորեցման ենթակա գույքի վաճառքի գինը՝ 134 420 400 դրամ):</w:t>
            </w:r>
          </w:p>
          <w:p w:rsidR="00806395" w:rsidRPr="00716185" w:rsidRDefault="00806395" w:rsidP="00806395">
            <w:pPr>
              <w:ind w:firstLine="709"/>
              <w:jc w:val="both"/>
              <w:rPr>
                <w:szCs w:val="24"/>
                <w:lang w:val="hy-AM"/>
              </w:rPr>
            </w:pPr>
            <w:r w:rsidRPr="00716185">
              <w:rPr>
                <w:szCs w:val="24"/>
                <w:lang w:val="hy-AM"/>
              </w:rPr>
              <w:t xml:space="preserve">Հաշվի առնելով վերոգրյալը՝ մշակվել </w:t>
            </w:r>
            <w:r w:rsidR="0054550A" w:rsidRPr="00716185">
              <w:rPr>
                <w:szCs w:val="24"/>
              </w:rPr>
              <w:t>է</w:t>
            </w:r>
            <w:r w:rsidRPr="00716185">
              <w:rPr>
                <w:szCs w:val="24"/>
                <w:lang w:val="hy-AM"/>
              </w:rPr>
              <w:t xml:space="preserve"> </w:t>
            </w:r>
            <w:r w:rsidR="00CB1C45" w:rsidRPr="00716185">
              <w:rPr>
                <w:color w:val="000000"/>
                <w:szCs w:val="24"/>
                <w:lang w:val="hy-AM"/>
              </w:rPr>
              <w:t>Թախտա թաղամաս տանող ճանապարհի</w:t>
            </w:r>
            <w:r w:rsidRPr="00716185">
              <w:rPr>
                <w:rFonts w:cs="Sylfaen"/>
                <w:szCs w:val="24"/>
                <w:lang w:val="hy-AM"/>
              </w:rPr>
              <w:t xml:space="preserve"> հիմնանորգման աշխատանքների</w:t>
            </w:r>
            <w:r w:rsidRPr="00716185">
              <w:rPr>
                <w:szCs w:val="24"/>
                <w:lang w:val="hy-AM"/>
              </w:rPr>
              <w:t xml:space="preserve"> նախագծանախահաշվային փաստաթղթերը, համաձայն որոնց, ընդհանուր աշխատանքների նախահաշվային արժեքը կազմում է </w:t>
            </w:r>
            <w:r w:rsidR="00CF47D6" w:rsidRPr="00716185">
              <w:rPr>
                <w:szCs w:val="24"/>
                <w:lang w:val="hy-AM"/>
              </w:rPr>
              <w:t>48</w:t>
            </w:r>
            <w:r w:rsidRPr="00716185">
              <w:rPr>
                <w:szCs w:val="24"/>
                <w:lang w:val="hy-AM"/>
              </w:rPr>
              <w:t>,</w:t>
            </w:r>
            <w:r w:rsidR="00CF47D6" w:rsidRPr="00716185">
              <w:rPr>
                <w:szCs w:val="24"/>
                <w:lang w:val="hy-AM"/>
              </w:rPr>
              <w:t>377</w:t>
            </w:r>
            <w:r w:rsidRPr="00716185">
              <w:rPr>
                <w:szCs w:val="24"/>
                <w:lang w:val="hy-AM"/>
              </w:rPr>
              <w:t>.</w:t>
            </w:r>
            <w:r w:rsidR="00CF47D6" w:rsidRPr="00716185">
              <w:rPr>
                <w:szCs w:val="24"/>
                <w:lang w:val="hy-AM"/>
              </w:rPr>
              <w:t>4</w:t>
            </w:r>
            <w:r w:rsidRPr="00716185">
              <w:rPr>
                <w:szCs w:val="24"/>
                <w:lang w:val="hy-AM"/>
              </w:rPr>
              <w:t xml:space="preserve"> հազար դրամ, </w:t>
            </w:r>
            <w:r w:rsidR="00150F44" w:rsidRPr="00716185">
              <w:rPr>
                <w:szCs w:val="24"/>
              </w:rPr>
              <w:t>որի մեջ ներառված են</w:t>
            </w:r>
            <w:r w:rsidRPr="00716185">
              <w:rPr>
                <w:szCs w:val="24"/>
                <w:lang w:val="hy-AM"/>
              </w:rPr>
              <w:t xml:space="preserve"> նաև տեխնիկական և հեղինակային հսկողության ծառայությունների </w:t>
            </w:r>
            <w:r w:rsidR="00150F44" w:rsidRPr="00716185">
              <w:rPr>
                <w:szCs w:val="24"/>
              </w:rPr>
              <w:t>համար նախատեսվող ծախսերը</w:t>
            </w:r>
            <w:r w:rsidRPr="00716185">
              <w:rPr>
                <w:szCs w:val="24"/>
                <w:lang w:val="hy-AM"/>
              </w:rPr>
              <w:t>։</w:t>
            </w:r>
          </w:p>
          <w:p w:rsidR="00806395" w:rsidRPr="00716185" w:rsidRDefault="00806395" w:rsidP="00BA380E">
            <w:pPr>
              <w:ind w:firstLine="709"/>
              <w:jc w:val="both"/>
              <w:rPr>
                <w:szCs w:val="24"/>
                <w:lang w:val="hy-AM"/>
              </w:rPr>
            </w:pPr>
            <w:r w:rsidRPr="00716185">
              <w:rPr>
                <w:szCs w:val="24"/>
                <w:lang w:val="hy-AM"/>
              </w:rPr>
              <w:t xml:space="preserve">Ծրագրի իրականացման արդյունքում հնարավորություն կընձեռվի կարգավորել </w:t>
            </w:r>
            <w:r w:rsidR="00CF47D6" w:rsidRPr="00716185">
              <w:rPr>
                <w:color w:val="000000"/>
                <w:szCs w:val="24"/>
                <w:lang w:val="hy-AM"/>
              </w:rPr>
              <w:t>Թախտա թաղամաս տանող ճանապարհ</w:t>
            </w:r>
            <w:r w:rsidR="00BA380E" w:rsidRPr="00716185">
              <w:rPr>
                <w:color w:val="000000"/>
                <w:szCs w:val="24"/>
                <w:lang w:val="hy-AM"/>
              </w:rPr>
              <w:t>ի</w:t>
            </w:r>
            <w:r w:rsidRPr="00716185">
              <w:rPr>
                <w:szCs w:val="24"/>
                <w:lang w:val="hy-AM"/>
              </w:rPr>
              <w:t xml:space="preserve"> կենսագործունեությունը։</w:t>
            </w:r>
          </w:p>
        </w:tc>
      </w:tr>
      <w:tr w:rsidR="00806395" w:rsidRPr="00716185" w:rsidTr="0080639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ind w:right="-540"/>
              <w:jc w:val="both"/>
              <w:rPr>
                <w:szCs w:val="24"/>
              </w:rPr>
            </w:pPr>
            <w:r w:rsidRPr="00716185">
              <w:rPr>
                <w:szCs w:val="24"/>
              </w:rPr>
              <w:t>2.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ind w:right="-540"/>
              <w:jc w:val="both"/>
              <w:rPr>
                <w:b/>
                <w:szCs w:val="24"/>
              </w:rPr>
            </w:pPr>
            <w:r w:rsidRPr="00716185">
              <w:rPr>
                <w:b/>
                <w:szCs w:val="24"/>
              </w:rPr>
              <w:t>Առաջարկվող կարգավորման բնույթը.</w:t>
            </w:r>
          </w:p>
        </w:tc>
      </w:tr>
      <w:tr w:rsidR="00806395" w:rsidRPr="00716185" w:rsidTr="00806395">
        <w:trPr>
          <w:trHeight w:val="7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ind w:right="-540"/>
              <w:jc w:val="both"/>
              <w:rPr>
                <w:szCs w:val="24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BA380E">
            <w:pPr>
              <w:jc w:val="both"/>
              <w:rPr>
                <w:szCs w:val="24"/>
                <w:lang w:val="hy-AM"/>
              </w:rPr>
            </w:pPr>
            <w:r w:rsidRPr="00716185">
              <w:rPr>
                <w:rFonts w:cs="Sylfaen"/>
                <w:szCs w:val="24"/>
                <w:lang w:val="hy-AM"/>
              </w:rPr>
              <w:t xml:space="preserve">Առաջարկվում է </w:t>
            </w:r>
            <w:r w:rsidR="00BA380E" w:rsidRPr="00716185">
              <w:rPr>
                <w:color w:val="000000"/>
                <w:szCs w:val="24"/>
                <w:lang w:val="hy-AM"/>
              </w:rPr>
              <w:t xml:space="preserve"> Դիլիջանի համայնքի ֆոնդային բյուջե մուտքագրված 40,326.1 հազ. դրամ ֆինանսական միջոցներ</w:t>
            </w:r>
            <w:r w:rsidR="00BA380E" w:rsidRPr="00716185">
              <w:rPr>
                <w:color w:val="000000"/>
                <w:szCs w:val="24"/>
                <w:lang w:val="ru-RU"/>
              </w:rPr>
              <w:t>ն</w:t>
            </w:r>
            <w:r w:rsidR="00BA380E" w:rsidRPr="00716185">
              <w:rPr>
                <w:color w:val="000000"/>
                <w:szCs w:val="24"/>
                <w:lang w:val="hy-AM"/>
              </w:rPr>
              <w:t xml:space="preserve"> </w:t>
            </w:r>
            <w:r w:rsidRPr="00716185">
              <w:rPr>
                <w:rFonts w:cs="Sylfaen"/>
                <w:szCs w:val="24"/>
                <w:lang w:val="hy-AM"/>
              </w:rPr>
              <w:t xml:space="preserve">ուղղել </w:t>
            </w:r>
            <w:r w:rsidR="00BA380E" w:rsidRPr="00716185">
              <w:rPr>
                <w:color w:val="000000"/>
                <w:szCs w:val="24"/>
                <w:lang w:val="hy-AM"/>
              </w:rPr>
              <w:t xml:space="preserve"> Թախտա թաղամաս տանող ճանապարհի</w:t>
            </w:r>
            <w:r w:rsidR="00BA380E" w:rsidRPr="00716185">
              <w:rPr>
                <w:rFonts w:cs="Sylfaen"/>
                <w:szCs w:val="24"/>
                <w:lang w:val="hy-AM"/>
              </w:rPr>
              <w:t xml:space="preserve"> </w:t>
            </w:r>
            <w:r w:rsidRPr="00716185">
              <w:rPr>
                <w:rFonts w:cs="Sylfaen"/>
                <w:szCs w:val="24"/>
                <w:lang w:val="hy-AM"/>
              </w:rPr>
              <w:t xml:space="preserve"> հիմնանորոգման աշխատանքների իրականացմանը:</w:t>
            </w:r>
          </w:p>
        </w:tc>
      </w:tr>
      <w:tr w:rsidR="00806395" w:rsidRPr="00716185" w:rsidTr="00806395">
        <w:trPr>
          <w:trHeight w:val="3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ind w:right="-540"/>
              <w:jc w:val="both"/>
              <w:rPr>
                <w:b/>
                <w:szCs w:val="24"/>
              </w:rPr>
            </w:pPr>
            <w:r w:rsidRPr="00716185">
              <w:rPr>
                <w:szCs w:val="24"/>
              </w:rPr>
              <w:t>3</w:t>
            </w:r>
            <w:r w:rsidRPr="00716185">
              <w:rPr>
                <w:b/>
                <w:szCs w:val="24"/>
              </w:rPr>
              <w:t>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ind w:right="-540"/>
              <w:jc w:val="both"/>
              <w:rPr>
                <w:b/>
                <w:szCs w:val="24"/>
              </w:rPr>
            </w:pPr>
            <w:r w:rsidRPr="00716185">
              <w:rPr>
                <w:b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806395" w:rsidRPr="00716185" w:rsidTr="00806395">
        <w:trPr>
          <w:trHeight w:val="63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ind w:right="-540"/>
              <w:jc w:val="both"/>
              <w:rPr>
                <w:szCs w:val="24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95" w:rsidRPr="00716185" w:rsidRDefault="00FD4337" w:rsidP="00806395">
            <w:pPr>
              <w:ind w:right="72"/>
              <w:rPr>
                <w:szCs w:val="24"/>
              </w:rPr>
            </w:pPr>
            <w:r w:rsidRPr="00716185">
              <w:rPr>
                <w:szCs w:val="24"/>
                <w:lang w:val="ru-RU"/>
              </w:rPr>
              <w:t>ՀՀ</w:t>
            </w:r>
            <w:r w:rsidRPr="00716185">
              <w:rPr>
                <w:szCs w:val="24"/>
              </w:rPr>
              <w:t xml:space="preserve"> </w:t>
            </w:r>
            <w:r w:rsidRPr="00716185">
              <w:rPr>
                <w:szCs w:val="24"/>
                <w:lang w:val="ru-RU"/>
              </w:rPr>
              <w:t>տարածքային</w:t>
            </w:r>
            <w:r w:rsidRPr="00716185">
              <w:rPr>
                <w:szCs w:val="24"/>
              </w:rPr>
              <w:t xml:space="preserve"> </w:t>
            </w:r>
            <w:r w:rsidRPr="00716185">
              <w:rPr>
                <w:szCs w:val="24"/>
                <w:lang w:val="ru-RU"/>
              </w:rPr>
              <w:t>կառավարման</w:t>
            </w:r>
            <w:r w:rsidRPr="00716185">
              <w:rPr>
                <w:szCs w:val="24"/>
              </w:rPr>
              <w:t xml:space="preserve"> </w:t>
            </w:r>
            <w:r w:rsidRPr="00716185">
              <w:rPr>
                <w:szCs w:val="24"/>
                <w:lang w:val="ru-RU"/>
              </w:rPr>
              <w:t>և</w:t>
            </w:r>
            <w:r w:rsidRPr="00716185">
              <w:rPr>
                <w:szCs w:val="24"/>
              </w:rPr>
              <w:t xml:space="preserve"> </w:t>
            </w:r>
            <w:r w:rsidRPr="00716185">
              <w:rPr>
                <w:szCs w:val="24"/>
                <w:lang w:val="ru-RU"/>
              </w:rPr>
              <w:t>զարգացման</w:t>
            </w:r>
            <w:r w:rsidRPr="00716185">
              <w:rPr>
                <w:szCs w:val="24"/>
              </w:rPr>
              <w:t xml:space="preserve"> </w:t>
            </w:r>
            <w:r w:rsidRPr="00716185">
              <w:rPr>
                <w:szCs w:val="24"/>
                <w:lang w:val="ru-RU"/>
              </w:rPr>
              <w:t>նախարարություն</w:t>
            </w:r>
          </w:p>
        </w:tc>
      </w:tr>
      <w:tr w:rsidR="00806395" w:rsidRPr="00716185" w:rsidTr="0080639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spacing w:line="23" w:lineRule="atLeast"/>
              <w:rPr>
                <w:szCs w:val="24"/>
              </w:rPr>
            </w:pPr>
            <w:r w:rsidRPr="00716185">
              <w:rPr>
                <w:szCs w:val="24"/>
              </w:rPr>
              <w:t>4.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spacing w:line="23" w:lineRule="atLeast"/>
              <w:rPr>
                <w:b/>
                <w:szCs w:val="24"/>
              </w:rPr>
            </w:pPr>
            <w:r w:rsidRPr="00716185">
              <w:rPr>
                <w:b/>
                <w:szCs w:val="24"/>
              </w:rPr>
              <w:t>Ակնկալվող արդյունքը</w:t>
            </w:r>
          </w:p>
        </w:tc>
      </w:tr>
      <w:tr w:rsidR="00806395" w:rsidRPr="00716185" w:rsidTr="0080639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806395">
            <w:pPr>
              <w:spacing w:line="23" w:lineRule="atLeast"/>
              <w:rPr>
                <w:szCs w:val="24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95" w:rsidRPr="00716185" w:rsidRDefault="00806395" w:rsidP="003A32C8">
            <w:pPr>
              <w:spacing w:line="23" w:lineRule="atLeast"/>
              <w:jc w:val="both"/>
              <w:rPr>
                <w:szCs w:val="24"/>
                <w:lang w:val="hy-AM"/>
              </w:rPr>
            </w:pPr>
            <w:r w:rsidRPr="00716185">
              <w:rPr>
                <w:szCs w:val="24"/>
                <w:lang w:val="hy-AM"/>
              </w:rPr>
              <w:t xml:space="preserve">Ծրագրի իրականացման արդյունքում </w:t>
            </w:r>
            <w:r w:rsidR="00FD4337" w:rsidRPr="00716185">
              <w:rPr>
                <w:szCs w:val="24"/>
                <w:lang w:val="ru-RU"/>
              </w:rPr>
              <w:t>կհիմնանորոգվի</w:t>
            </w:r>
            <w:r w:rsidRPr="00716185">
              <w:rPr>
                <w:szCs w:val="24"/>
                <w:lang w:val="hy-AM"/>
              </w:rPr>
              <w:t xml:space="preserve"> </w:t>
            </w:r>
            <w:r w:rsidR="00FD4337" w:rsidRPr="00716185">
              <w:rPr>
                <w:color w:val="000000"/>
                <w:szCs w:val="24"/>
                <w:lang w:val="ru-RU"/>
              </w:rPr>
              <w:t>Դիլիջան</w:t>
            </w:r>
            <w:r w:rsidR="00FD4337" w:rsidRPr="00716185">
              <w:rPr>
                <w:color w:val="000000"/>
                <w:szCs w:val="24"/>
              </w:rPr>
              <w:t xml:space="preserve"> </w:t>
            </w:r>
            <w:r w:rsidR="00FD4337" w:rsidRPr="00716185">
              <w:rPr>
                <w:color w:val="000000"/>
                <w:szCs w:val="24"/>
                <w:lang w:val="ru-RU"/>
              </w:rPr>
              <w:t>համայնքի</w:t>
            </w:r>
            <w:r w:rsidR="00FD4337" w:rsidRPr="00716185">
              <w:rPr>
                <w:color w:val="000000"/>
                <w:szCs w:val="24"/>
              </w:rPr>
              <w:t xml:space="preserve"> </w:t>
            </w:r>
            <w:r w:rsidR="00FD4337" w:rsidRPr="00716185">
              <w:rPr>
                <w:color w:val="000000"/>
                <w:szCs w:val="24"/>
                <w:lang w:val="hy-AM"/>
              </w:rPr>
              <w:t>Թախտա թաղամաս տանող ճանապարհ</w:t>
            </w:r>
            <w:r w:rsidR="00FD4337" w:rsidRPr="00716185">
              <w:rPr>
                <w:color w:val="000000"/>
                <w:szCs w:val="24"/>
                <w:lang w:val="ru-RU"/>
              </w:rPr>
              <w:t>ը</w:t>
            </w:r>
            <w:r w:rsidRPr="00716185">
              <w:rPr>
                <w:szCs w:val="24"/>
                <w:lang w:val="hy-AM"/>
              </w:rPr>
              <w:t>։</w:t>
            </w:r>
          </w:p>
        </w:tc>
      </w:tr>
    </w:tbl>
    <w:p w:rsidR="00806395" w:rsidRPr="00716185" w:rsidRDefault="00806395" w:rsidP="008B43B8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Cs w:val="24"/>
          <w:lang w:eastAsia="ru-RU"/>
        </w:rPr>
      </w:pPr>
    </w:p>
    <w:sectPr w:rsidR="00806395" w:rsidRPr="00716185" w:rsidSect="008B43B8">
      <w:pgSz w:w="12240" w:h="15840"/>
      <w:pgMar w:top="0" w:right="630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5AD" w:rsidRDefault="00F535AD" w:rsidP="00C846BD">
      <w:pPr>
        <w:spacing w:after="0" w:line="240" w:lineRule="auto"/>
      </w:pPr>
      <w:r>
        <w:separator/>
      </w:r>
    </w:p>
  </w:endnote>
  <w:endnote w:type="continuationSeparator" w:id="0">
    <w:p w:rsidR="00F535AD" w:rsidRDefault="00F535AD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5AD" w:rsidRDefault="00F535AD" w:rsidP="00C846BD">
      <w:pPr>
        <w:spacing w:after="0" w:line="240" w:lineRule="auto"/>
      </w:pPr>
      <w:r>
        <w:separator/>
      </w:r>
    </w:p>
  </w:footnote>
  <w:footnote w:type="continuationSeparator" w:id="0">
    <w:p w:rsidR="00F535AD" w:rsidRDefault="00F535AD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4458"/>
    <w:multiLevelType w:val="hybridMultilevel"/>
    <w:tmpl w:val="68B46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9C55C4"/>
    <w:multiLevelType w:val="hybridMultilevel"/>
    <w:tmpl w:val="FCD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D90FBC"/>
    <w:multiLevelType w:val="hybridMultilevel"/>
    <w:tmpl w:val="9C946900"/>
    <w:lvl w:ilvl="0" w:tplc="45263FB6">
      <w:start w:val="1"/>
      <w:numFmt w:val="decimal"/>
      <w:lvlText w:val="%1."/>
      <w:lvlJc w:val="left"/>
      <w:pPr>
        <w:ind w:left="1965" w:hanging="79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C437B41"/>
    <w:multiLevelType w:val="hybridMultilevel"/>
    <w:tmpl w:val="4370A8A0"/>
    <w:lvl w:ilvl="0" w:tplc="B08222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02BAC"/>
    <w:rsid w:val="00002F47"/>
    <w:rsid w:val="000104CF"/>
    <w:rsid w:val="00014202"/>
    <w:rsid w:val="0001615E"/>
    <w:rsid w:val="00024CE9"/>
    <w:rsid w:val="00024E46"/>
    <w:rsid w:val="000266D6"/>
    <w:rsid w:val="00027CF3"/>
    <w:rsid w:val="0003235C"/>
    <w:rsid w:val="000358D5"/>
    <w:rsid w:val="00046E38"/>
    <w:rsid w:val="00051DA0"/>
    <w:rsid w:val="00052219"/>
    <w:rsid w:val="00055B4B"/>
    <w:rsid w:val="00056D18"/>
    <w:rsid w:val="00072055"/>
    <w:rsid w:val="00077913"/>
    <w:rsid w:val="0008310B"/>
    <w:rsid w:val="0008474D"/>
    <w:rsid w:val="0009241D"/>
    <w:rsid w:val="0009601B"/>
    <w:rsid w:val="000A383D"/>
    <w:rsid w:val="000A4E09"/>
    <w:rsid w:val="000B0578"/>
    <w:rsid w:val="000B1C38"/>
    <w:rsid w:val="000B3C7F"/>
    <w:rsid w:val="000B61D4"/>
    <w:rsid w:val="000B685B"/>
    <w:rsid w:val="000C5C16"/>
    <w:rsid w:val="000D391B"/>
    <w:rsid w:val="000D6D64"/>
    <w:rsid w:val="000E1147"/>
    <w:rsid w:val="000E1E6E"/>
    <w:rsid w:val="00103812"/>
    <w:rsid w:val="00107205"/>
    <w:rsid w:val="0012421A"/>
    <w:rsid w:val="00126C7E"/>
    <w:rsid w:val="0012717E"/>
    <w:rsid w:val="0013236D"/>
    <w:rsid w:val="00136C51"/>
    <w:rsid w:val="00137898"/>
    <w:rsid w:val="00143747"/>
    <w:rsid w:val="00150685"/>
    <w:rsid w:val="00150F44"/>
    <w:rsid w:val="001520F0"/>
    <w:rsid w:val="00152628"/>
    <w:rsid w:val="0015524A"/>
    <w:rsid w:val="00163AE9"/>
    <w:rsid w:val="00165523"/>
    <w:rsid w:val="0017052D"/>
    <w:rsid w:val="00171981"/>
    <w:rsid w:val="00172043"/>
    <w:rsid w:val="00182234"/>
    <w:rsid w:val="00184392"/>
    <w:rsid w:val="001877FD"/>
    <w:rsid w:val="0019037E"/>
    <w:rsid w:val="001C59FA"/>
    <w:rsid w:val="001D52D8"/>
    <w:rsid w:val="001F2B25"/>
    <w:rsid w:val="001F5CED"/>
    <w:rsid w:val="00205D06"/>
    <w:rsid w:val="00206E9C"/>
    <w:rsid w:val="002125D4"/>
    <w:rsid w:val="002176F2"/>
    <w:rsid w:val="00217B51"/>
    <w:rsid w:val="00220CA2"/>
    <w:rsid w:val="00221790"/>
    <w:rsid w:val="00234BD9"/>
    <w:rsid w:val="00235ADA"/>
    <w:rsid w:val="0024001B"/>
    <w:rsid w:val="00241EF4"/>
    <w:rsid w:val="002422B6"/>
    <w:rsid w:val="00252974"/>
    <w:rsid w:val="00256913"/>
    <w:rsid w:val="00280E84"/>
    <w:rsid w:val="002C60FE"/>
    <w:rsid w:val="002E67BD"/>
    <w:rsid w:val="003165EB"/>
    <w:rsid w:val="00323400"/>
    <w:rsid w:val="003312F6"/>
    <w:rsid w:val="00334B66"/>
    <w:rsid w:val="00334E8E"/>
    <w:rsid w:val="0033583A"/>
    <w:rsid w:val="003376ED"/>
    <w:rsid w:val="00345115"/>
    <w:rsid w:val="003621EF"/>
    <w:rsid w:val="003658B4"/>
    <w:rsid w:val="00366CE1"/>
    <w:rsid w:val="003802C2"/>
    <w:rsid w:val="00381BE4"/>
    <w:rsid w:val="00392227"/>
    <w:rsid w:val="003926B5"/>
    <w:rsid w:val="003929B1"/>
    <w:rsid w:val="003A32C8"/>
    <w:rsid w:val="003A5AE1"/>
    <w:rsid w:val="003A7016"/>
    <w:rsid w:val="003B1B60"/>
    <w:rsid w:val="003B6F55"/>
    <w:rsid w:val="003C3061"/>
    <w:rsid w:val="003C44E6"/>
    <w:rsid w:val="003C65F3"/>
    <w:rsid w:val="003D24C2"/>
    <w:rsid w:val="003D41AA"/>
    <w:rsid w:val="003E1004"/>
    <w:rsid w:val="003E74E8"/>
    <w:rsid w:val="003F2F94"/>
    <w:rsid w:val="003F3B94"/>
    <w:rsid w:val="00416B46"/>
    <w:rsid w:val="00423B08"/>
    <w:rsid w:val="0043370E"/>
    <w:rsid w:val="00436D45"/>
    <w:rsid w:val="004477AD"/>
    <w:rsid w:val="00447904"/>
    <w:rsid w:val="0046059C"/>
    <w:rsid w:val="004A217A"/>
    <w:rsid w:val="004B3553"/>
    <w:rsid w:val="004B79D3"/>
    <w:rsid w:val="004C116D"/>
    <w:rsid w:val="004D6461"/>
    <w:rsid w:val="00500C23"/>
    <w:rsid w:val="00505655"/>
    <w:rsid w:val="00506C7D"/>
    <w:rsid w:val="005072DA"/>
    <w:rsid w:val="0051222D"/>
    <w:rsid w:val="00515F04"/>
    <w:rsid w:val="005165C4"/>
    <w:rsid w:val="00516713"/>
    <w:rsid w:val="00517D21"/>
    <w:rsid w:val="00522373"/>
    <w:rsid w:val="00527753"/>
    <w:rsid w:val="00531A4D"/>
    <w:rsid w:val="0054550A"/>
    <w:rsid w:val="00545E9D"/>
    <w:rsid w:val="005511E1"/>
    <w:rsid w:val="00563393"/>
    <w:rsid w:val="005717A9"/>
    <w:rsid w:val="00572496"/>
    <w:rsid w:val="00572B07"/>
    <w:rsid w:val="00576CB8"/>
    <w:rsid w:val="005829F6"/>
    <w:rsid w:val="00582C29"/>
    <w:rsid w:val="00593CDA"/>
    <w:rsid w:val="00595988"/>
    <w:rsid w:val="005A0D46"/>
    <w:rsid w:val="005C5B6A"/>
    <w:rsid w:val="005C7DAE"/>
    <w:rsid w:val="005D35D2"/>
    <w:rsid w:val="005E1659"/>
    <w:rsid w:val="005F12E5"/>
    <w:rsid w:val="005F2B70"/>
    <w:rsid w:val="005F3804"/>
    <w:rsid w:val="005F4278"/>
    <w:rsid w:val="006005F6"/>
    <w:rsid w:val="00600770"/>
    <w:rsid w:val="00601B55"/>
    <w:rsid w:val="00607F2C"/>
    <w:rsid w:val="00613EE5"/>
    <w:rsid w:val="006221E9"/>
    <w:rsid w:val="00623892"/>
    <w:rsid w:val="00634C6A"/>
    <w:rsid w:val="006446B5"/>
    <w:rsid w:val="00644F09"/>
    <w:rsid w:val="00646821"/>
    <w:rsid w:val="0065206C"/>
    <w:rsid w:val="006534D7"/>
    <w:rsid w:val="0065676E"/>
    <w:rsid w:val="0066134A"/>
    <w:rsid w:val="00670E24"/>
    <w:rsid w:val="00672976"/>
    <w:rsid w:val="00684FC4"/>
    <w:rsid w:val="00686EE9"/>
    <w:rsid w:val="006874CE"/>
    <w:rsid w:val="00695410"/>
    <w:rsid w:val="00697C7E"/>
    <w:rsid w:val="006B0DD6"/>
    <w:rsid w:val="006C0BCA"/>
    <w:rsid w:val="006C5919"/>
    <w:rsid w:val="006C7350"/>
    <w:rsid w:val="006D0559"/>
    <w:rsid w:val="006D2E48"/>
    <w:rsid w:val="006E1A8D"/>
    <w:rsid w:val="006F40F3"/>
    <w:rsid w:val="006F7394"/>
    <w:rsid w:val="00702BD3"/>
    <w:rsid w:val="00703328"/>
    <w:rsid w:val="007053FB"/>
    <w:rsid w:val="00707069"/>
    <w:rsid w:val="00716185"/>
    <w:rsid w:val="0072028C"/>
    <w:rsid w:val="00757EEF"/>
    <w:rsid w:val="00765812"/>
    <w:rsid w:val="0076589B"/>
    <w:rsid w:val="0077370C"/>
    <w:rsid w:val="007816C1"/>
    <w:rsid w:val="00786185"/>
    <w:rsid w:val="00790698"/>
    <w:rsid w:val="00794C1A"/>
    <w:rsid w:val="007A45E2"/>
    <w:rsid w:val="007A5073"/>
    <w:rsid w:val="007A60EA"/>
    <w:rsid w:val="007B11EF"/>
    <w:rsid w:val="007B54A0"/>
    <w:rsid w:val="007C124E"/>
    <w:rsid w:val="007D21BF"/>
    <w:rsid w:val="007D7FF2"/>
    <w:rsid w:val="007E2E4C"/>
    <w:rsid w:val="007F0ED7"/>
    <w:rsid w:val="008033BF"/>
    <w:rsid w:val="008036EA"/>
    <w:rsid w:val="00806395"/>
    <w:rsid w:val="008221A3"/>
    <w:rsid w:val="00830ECD"/>
    <w:rsid w:val="00841053"/>
    <w:rsid w:val="00854692"/>
    <w:rsid w:val="00861148"/>
    <w:rsid w:val="00862694"/>
    <w:rsid w:val="008635AE"/>
    <w:rsid w:val="0087235A"/>
    <w:rsid w:val="00881602"/>
    <w:rsid w:val="008832B0"/>
    <w:rsid w:val="00885B1D"/>
    <w:rsid w:val="00886E0D"/>
    <w:rsid w:val="00892D69"/>
    <w:rsid w:val="00892FC1"/>
    <w:rsid w:val="00893D0E"/>
    <w:rsid w:val="008B03B1"/>
    <w:rsid w:val="008B17C0"/>
    <w:rsid w:val="008B2DDA"/>
    <w:rsid w:val="008B43B8"/>
    <w:rsid w:val="008C597C"/>
    <w:rsid w:val="008D0A7F"/>
    <w:rsid w:val="008D273B"/>
    <w:rsid w:val="008E66E9"/>
    <w:rsid w:val="008F611E"/>
    <w:rsid w:val="00901030"/>
    <w:rsid w:val="00901C20"/>
    <w:rsid w:val="00902D8A"/>
    <w:rsid w:val="00903297"/>
    <w:rsid w:val="00910937"/>
    <w:rsid w:val="00914282"/>
    <w:rsid w:val="00935B54"/>
    <w:rsid w:val="00937E4A"/>
    <w:rsid w:val="00937E50"/>
    <w:rsid w:val="00952E9B"/>
    <w:rsid w:val="009567E7"/>
    <w:rsid w:val="00960614"/>
    <w:rsid w:val="009623D6"/>
    <w:rsid w:val="00966844"/>
    <w:rsid w:val="00977DD9"/>
    <w:rsid w:val="00985809"/>
    <w:rsid w:val="009936E1"/>
    <w:rsid w:val="00996CAE"/>
    <w:rsid w:val="009A120F"/>
    <w:rsid w:val="009A385A"/>
    <w:rsid w:val="009B1AA6"/>
    <w:rsid w:val="009C2EA9"/>
    <w:rsid w:val="009C6512"/>
    <w:rsid w:val="009E10A8"/>
    <w:rsid w:val="009E30E2"/>
    <w:rsid w:val="009E34B9"/>
    <w:rsid w:val="009E6AE9"/>
    <w:rsid w:val="009F5BD8"/>
    <w:rsid w:val="009F7436"/>
    <w:rsid w:val="00A004AA"/>
    <w:rsid w:val="00A066E9"/>
    <w:rsid w:val="00A17C24"/>
    <w:rsid w:val="00A30D1A"/>
    <w:rsid w:val="00A35E4D"/>
    <w:rsid w:val="00A41663"/>
    <w:rsid w:val="00A54CFB"/>
    <w:rsid w:val="00A6153C"/>
    <w:rsid w:val="00A617F1"/>
    <w:rsid w:val="00A66C0E"/>
    <w:rsid w:val="00A809A7"/>
    <w:rsid w:val="00A95E60"/>
    <w:rsid w:val="00AA0F1F"/>
    <w:rsid w:val="00AB372A"/>
    <w:rsid w:val="00AD3022"/>
    <w:rsid w:val="00AE7D18"/>
    <w:rsid w:val="00AF4900"/>
    <w:rsid w:val="00B00107"/>
    <w:rsid w:val="00B00587"/>
    <w:rsid w:val="00B0176C"/>
    <w:rsid w:val="00B03A6A"/>
    <w:rsid w:val="00B03C48"/>
    <w:rsid w:val="00B10423"/>
    <w:rsid w:val="00B1794E"/>
    <w:rsid w:val="00B30AAA"/>
    <w:rsid w:val="00B3385B"/>
    <w:rsid w:val="00B46A2D"/>
    <w:rsid w:val="00B470D2"/>
    <w:rsid w:val="00B5555C"/>
    <w:rsid w:val="00B735CE"/>
    <w:rsid w:val="00B73BDD"/>
    <w:rsid w:val="00B90D1B"/>
    <w:rsid w:val="00B96C51"/>
    <w:rsid w:val="00BA0944"/>
    <w:rsid w:val="00BA2107"/>
    <w:rsid w:val="00BA380E"/>
    <w:rsid w:val="00BB152A"/>
    <w:rsid w:val="00BC18FC"/>
    <w:rsid w:val="00BC5E44"/>
    <w:rsid w:val="00BC5EFE"/>
    <w:rsid w:val="00BD277D"/>
    <w:rsid w:val="00BD387D"/>
    <w:rsid w:val="00BF1B54"/>
    <w:rsid w:val="00BF4848"/>
    <w:rsid w:val="00C100E8"/>
    <w:rsid w:val="00C12C8C"/>
    <w:rsid w:val="00C1376F"/>
    <w:rsid w:val="00C24F5A"/>
    <w:rsid w:val="00C275EF"/>
    <w:rsid w:val="00C311A0"/>
    <w:rsid w:val="00C34939"/>
    <w:rsid w:val="00C369A1"/>
    <w:rsid w:val="00C846BD"/>
    <w:rsid w:val="00C854FC"/>
    <w:rsid w:val="00C92EF7"/>
    <w:rsid w:val="00C95EDE"/>
    <w:rsid w:val="00CA21FB"/>
    <w:rsid w:val="00CA69A2"/>
    <w:rsid w:val="00CA69A4"/>
    <w:rsid w:val="00CA6E04"/>
    <w:rsid w:val="00CB1C45"/>
    <w:rsid w:val="00CD1AC5"/>
    <w:rsid w:val="00CD4DC5"/>
    <w:rsid w:val="00CE5462"/>
    <w:rsid w:val="00CE6682"/>
    <w:rsid w:val="00CF47D6"/>
    <w:rsid w:val="00CF4E4E"/>
    <w:rsid w:val="00D07548"/>
    <w:rsid w:val="00D15A06"/>
    <w:rsid w:val="00D20997"/>
    <w:rsid w:val="00D2396A"/>
    <w:rsid w:val="00D23AEF"/>
    <w:rsid w:val="00D23FBD"/>
    <w:rsid w:val="00D26781"/>
    <w:rsid w:val="00D3161B"/>
    <w:rsid w:val="00D32DAA"/>
    <w:rsid w:val="00D3423F"/>
    <w:rsid w:val="00D455EB"/>
    <w:rsid w:val="00D501FC"/>
    <w:rsid w:val="00D527BB"/>
    <w:rsid w:val="00D6135F"/>
    <w:rsid w:val="00D66D3F"/>
    <w:rsid w:val="00D72B62"/>
    <w:rsid w:val="00D76C84"/>
    <w:rsid w:val="00D7725B"/>
    <w:rsid w:val="00D93451"/>
    <w:rsid w:val="00DA2AB9"/>
    <w:rsid w:val="00DA37F5"/>
    <w:rsid w:val="00DA3B54"/>
    <w:rsid w:val="00DD31B7"/>
    <w:rsid w:val="00DE17E5"/>
    <w:rsid w:val="00DE32B7"/>
    <w:rsid w:val="00DF790F"/>
    <w:rsid w:val="00E04087"/>
    <w:rsid w:val="00E055C4"/>
    <w:rsid w:val="00E127A0"/>
    <w:rsid w:val="00E12A11"/>
    <w:rsid w:val="00E17C6A"/>
    <w:rsid w:val="00E304BF"/>
    <w:rsid w:val="00E40048"/>
    <w:rsid w:val="00E54E48"/>
    <w:rsid w:val="00E6418F"/>
    <w:rsid w:val="00E95A1F"/>
    <w:rsid w:val="00EA44B6"/>
    <w:rsid w:val="00EB0C67"/>
    <w:rsid w:val="00EB7955"/>
    <w:rsid w:val="00EC23A7"/>
    <w:rsid w:val="00EE2E5F"/>
    <w:rsid w:val="00EE47C2"/>
    <w:rsid w:val="00EF4D89"/>
    <w:rsid w:val="00EF5F98"/>
    <w:rsid w:val="00F04E28"/>
    <w:rsid w:val="00F15A61"/>
    <w:rsid w:val="00F22817"/>
    <w:rsid w:val="00F32E96"/>
    <w:rsid w:val="00F42CE2"/>
    <w:rsid w:val="00F51B79"/>
    <w:rsid w:val="00F52E07"/>
    <w:rsid w:val="00F535AD"/>
    <w:rsid w:val="00F6436A"/>
    <w:rsid w:val="00F649B1"/>
    <w:rsid w:val="00F6731B"/>
    <w:rsid w:val="00F8011F"/>
    <w:rsid w:val="00F85A48"/>
    <w:rsid w:val="00F86034"/>
    <w:rsid w:val="00F87D03"/>
    <w:rsid w:val="00FA7367"/>
    <w:rsid w:val="00FB6D6C"/>
    <w:rsid w:val="00FC3765"/>
    <w:rsid w:val="00FD20C2"/>
    <w:rsid w:val="00FD4337"/>
    <w:rsid w:val="00FE0FF4"/>
    <w:rsid w:val="00FE2923"/>
    <w:rsid w:val="00FE4113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A897DD-BD39-4D32-ABA9-29DDC3D7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link w:val="normChar"/>
    <w:rsid w:val="00024CE9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024CE9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7E2E4C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1378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8054-5012-44A7-8D76-EF2D850D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https://mul.gov.am/tasks/docs/attachment.php?id=491992&amp;fn=nakhagits.docx&amp;out=1&amp;token=a6f24809c23598153aa4</cp:keywords>
</cp:coreProperties>
</file>