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59C" w:rsidRPr="00760B2E" w:rsidRDefault="00D7659C" w:rsidP="00760B2E">
      <w:pPr>
        <w:spacing w:line="360" w:lineRule="auto"/>
        <w:jc w:val="center"/>
        <w:rPr>
          <w:rFonts w:ascii="GHEA Grapalat" w:hAnsi="GHEA Grapalat"/>
          <w:b/>
          <w:sz w:val="24"/>
          <w:szCs w:val="24"/>
          <w:lang w:val="hy-AM"/>
        </w:rPr>
      </w:pPr>
      <w:r w:rsidRPr="00760B2E">
        <w:rPr>
          <w:rFonts w:ascii="GHEA Grapalat" w:hAnsi="GHEA Grapalat"/>
          <w:b/>
          <w:sz w:val="24"/>
          <w:szCs w:val="24"/>
          <w:lang w:val="hy-AM"/>
        </w:rPr>
        <w:t>ՏԵՂԵԿԱՆՔ-ՀԻՄՆԱՎՈՐՈՒՄ</w:t>
      </w:r>
    </w:p>
    <w:p w:rsidR="00D7659C" w:rsidRPr="00760B2E" w:rsidRDefault="00D7659C" w:rsidP="00760B2E">
      <w:pPr>
        <w:spacing w:line="360" w:lineRule="auto"/>
        <w:jc w:val="center"/>
        <w:rPr>
          <w:rFonts w:ascii="GHEA Grapalat" w:hAnsi="GHEA Grapalat"/>
          <w:b/>
          <w:sz w:val="24"/>
          <w:szCs w:val="24"/>
          <w:lang w:val="hy-AM"/>
        </w:rPr>
      </w:pPr>
      <w:r w:rsidRPr="00760B2E">
        <w:rPr>
          <w:rFonts w:ascii="GHEA Grapalat" w:hAnsi="GHEA Grapalat"/>
          <w:b/>
          <w:sz w:val="24"/>
          <w:szCs w:val="24"/>
          <w:lang w:val="hy-AM"/>
        </w:rPr>
        <w:t>Իրական սեփականատերերի սահմանման բաժնեմասնակցության հայտանիշով շեմեր սահմանելու անհրաժեշտության վերաբերյալ</w:t>
      </w:r>
    </w:p>
    <w:p w:rsidR="00D7659C" w:rsidRPr="00760B2E" w:rsidRDefault="00D7659C" w:rsidP="00760B2E">
      <w:pPr>
        <w:spacing w:line="360" w:lineRule="auto"/>
        <w:jc w:val="both"/>
        <w:rPr>
          <w:rFonts w:ascii="GHEA Grapalat" w:hAnsi="GHEA Grapalat"/>
          <w:b/>
          <w:sz w:val="24"/>
          <w:szCs w:val="24"/>
          <w:lang w:val="hy-AM"/>
        </w:rPr>
      </w:pPr>
    </w:p>
    <w:p w:rsidR="00D7659C" w:rsidRPr="00760B2E" w:rsidRDefault="00D7659C" w:rsidP="00760B2E">
      <w:pPr>
        <w:spacing w:after="0" w:line="360" w:lineRule="auto"/>
        <w:jc w:val="both"/>
        <w:rPr>
          <w:rFonts w:ascii="GHEA Grapalat" w:hAnsi="GHEA Grapalat"/>
          <w:b/>
          <w:i/>
          <w:sz w:val="24"/>
          <w:szCs w:val="24"/>
          <w:lang w:val="hy-AM"/>
        </w:rPr>
      </w:pPr>
      <w:r w:rsidRPr="00760B2E">
        <w:rPr>
          <w:rFonts w:ascii="GHEA Grapalat" w:hAnsi="GHEA Grapalat"/>
          <w:b/>
          <w:i/>
          <w:sz w:val="24"/>
          <w:szCs w:val="24"/>
          <w:lang w:val="hy-AM"/>
        </w:rPr>
        <w:t>Իրական սեփականատերերի (ԻՍ) բաժնեմասնակցության շեմերի սահմանումը՝ որպես նոր համակարգի ներդրման արդյունավետության հարց</w:t>
      </w:r>
    </w:p>
    <w:p w:rsidR="00D7659C" w:rsidRPr="00760B2E" w:rsidRDefault="00D7659C" w:rsidP="00760B2E">
      <w:pPr>
        <w:spacing w:after="0" w:line="360" w:lineRule="auto"/>
        <w:ind w:firstLine="720"/>
        <w:jc w:val="both"/>
        <w:rPr>
          <w:rFonts w:ascii="GHEA Grapalat" w:hAnsi="GHEA Grapalat"/>
          <w:sz w:val="24"/>
          <w:szCs w:val="24"/>
          <w:lang w:val="hy-AM"/>
        </w:rPr>
      </w:pPr>
      <w:r w:rsidRPr="00760B2E">
        <w:rPr>
          <w:rFonts w:ascii="GHEA Grapalat" w:hAnsi="GHEA Grapalat"/>
          <w:sz w:val="24"/>
          <w:szCs w:val="24"/>
          <w:lang w:val="hy-AM"/>
        </w:rPr>
        <w:t xml:space="preserve">Վերջնական շահառուների մասին տեղեկատվության հավաքագրման պահանջը վերջին տասնամյակում Հայաստանում քննարկման առարկա է եղել տարբեր հարթակներում՝ Բաց կառավարման գործընկերություն, հակակոռուպցիոն առանձին ծրագրեր: Շոշափելի հաջողության հնարավոր եղավ հասնել Արդյունահանող ճյուղերի թափանցիկության նախաձեռնության (ԱՃԹՆ) շրջանակներում, որտեղ անհրաժեշտ էր թեմային վերաբերող յուրաքանչյուր դրույթի վերաբերյալ (սահմանումներ, շեմեր, փոխկապակցվածություն, սանկցիաներ և այլն) հասկանալ աշխարհում առկա լավագույն փորձը, մանրամասն ուսումնասիրել ներպետական ինստիտուցիոնալ համակարգը և իրավական ռեժիմը, ներդնել հայաստանյան իրադրությանն ամենից համահունչ համակարգ: </w:t>
      </w:r>
    </w:p>
    <w:p w:rsidR="00D7659C" w:rsidRPr="00760B2E" w:rsidRDefault="00D7659C" w:rsidP="00760B2E">
      <w:pPr>
        <w:spacing w:after="0" w:line="360" w:lineRule="auto"/>
        <w:ind w:firstLine="720"/>
        <w:jc w:val="both"/>
        <w:rPr>
          <w:rFonts w:ascii="GHEA Grapalat" w:hAnsi="GHEA Grapalat"/>
          <w:sz w:val="24"/>
          <w:szCs w:val="24"/>
          <w:lang w:val="hy-AM"/>
        </w:rPr>
      </w:pPr>
      <w:r w:rsidRPr="00760B2E">
        <w:rPr>
          <w:rFonts w:ascii="GHEA Grapalat" w:hAnsi="GHEA Grapalat"/>
          <w:sz w:val="24"/>
          <w:szCs w:val="24"/>
          <w:lang w:val="hy-AM"/>
        </w:rPr>
        <w:t xml:space="preserve">Առանձին դրույթների վերաբերյալ որոշումներ ընդունելիս կարևորվել է ռիսկայնության աստիճանը և արդյունավետության ապահովման խնդիրը: Այս նույն երկու գործոններով պայմանավորված, 50-ից ավել կառավարությունների, քաղաքացիական հասարակության գլոբալ կազմակերպությունների, մասնավոր ընկերությունների և միջազգային կազմակերպությունների կողմից ընդունված ստանդարտում նշված է, որ եթե քաղաքական ազդեցություն ունեցող անձանց դեպքում բաժնեմասնակցության շեմ չի դիտարկվում (նույն ռիսկայնության գործոնով պայմանավորված), ապա մյուս դեպքերում իրական սեփականատերերի սահմանման, այդ թվում շեմի չափի մասին որոշումը կայացվում է յուրաքանչյուր ազգային մակարդակում: Սա արվել է առավել հստակ, ոչ </w:t>
      </w:r>
      <w:r w:rsidRPr="00760B2E">
        <w:rPr>
          <w:rFonts w:ascii="GHEA Grapalat" w:hAnsi="GHEA Grapalat"/>
          <w:sz w:val="24"/>
          <w:szCs w:val="24"/>
          <w:lang w:val="hy-AM"/>
        </w:rPr>
        <w:lastRenderedPageBreak/>
        <w:t>վերացական համակարգեր կառուցելու նպատակադրումից:</w:t>
      </w:r>
      <w:r w:rsidR="00760B2E" w:rsidRPr="00760B2E">
        <w:rPr>
          <w:rFonts w:ascii="GHEA Grapalat" w:hAnsi="GHEA Grapalat"/>
          <w:sz w:val="24"/>
          <w:szCs w:val="24"/>
          <w:lang w:val="hy-AM"/>
        </w:rPr>
        <w:t xml:space="preserve"> </w:t>
      </w:r>
      <w:r w:rsidRPr="00760B2E">
        <w:rPr>
          <w:rFonts w:ascii="GHEA Grapalat" w:hAnsi="GHEA Grapalat"/>
          <w:b/>
          <w:sz w:val="24"/>
          <w:szCs w:val="24"/>
          <w:lang w:val="hy-AM"/>
        </w:rPr>
        <w:t>2016թ. Ստանդարտի այս դրույթները անփոփոխ մնացին 2019թ. հունիսին նոր ստանդարտի ընդունմամբ ևս:</w:t>
      </w:r>
    </w:p>
    <w:p w:rsidR="00D7659C" w:rsidRPr="00760B2E" w:rsidRDefault="00D7659C" w:rsidP="00760B2E">
      <w:pPr>
        <w:spacing w:after="0" w:line="360" w:lineRule="auto"/>
        <w:ind w:firstLine="720"/>
        <w:jc w:val="both"/>
        <w:rPr>
          <w:rFonts w:ascii="GHEA Grapalat" w:hAnsi="GHEA Grapalat"/>
          <w:sz w:val="24"/>
          <w:szCs w:val="24"/>
          <w:lang w:val="hy-AM"/>
        </w:rPr>
      </w:pPr>
      <w:r w:rsidRPr="00760B2E">
        <w:rPr>
          <w:rFonts w:ascii="GHEA Grapalat" w:hAnsi="GHEA Grapalat"/>
          <w:sz w:val="24"/>
          <w:szCs w:val="24"/>
          <w:lang w:val="hy-AM"/>
        </w:rPr>
        <w:t xml:space="preserve">Շեմեր սահմանելու հիմնավորվածության մասին է վկայում նաև Հայաստանում նախագծի մշակման </w:t>
      </w:r>
      <w:r w:rsidRPr="00760B2E">
        <w:rPr>
          <w:rFonts w:ascii="GHEA Grapalat" w:hAnsi="GHEA Grapalat"/>
          <w:b/>
          <w:sz w:val="24"/>
          <w:szCs w:val="24"/>
          <w:lang w:val="hy-AM"/>
        </w:rPr>
        <w:t>ներառական գործընթացը</w:t>
      </w:r>
      <w:r w:rsidRPr="00760B2E">
        <w:rPr>
          <w:rFonts w:ascii="GHEA Grapalat" w:hAnsi="GHEA Grapalat"/>
          <w:sz w:val="24"/>
          <w:szCs w:val="24"/>
          <w:lang w:val="hy-AM"/>
        </w:rPr>
        <w:t>, որում անմիջական մասնակցություն են ունեցել կառավարության</w:t>
      </w:r>
      <w:r w:rsidRPr="00760B2E">
        <w:rPr>
          <w:rStyle w:val="CommentReference"/>
          <w:rFonts w:ascii="GHEA Grapalat" w:hAnsi="GHEA Grapalat"/>
          <w:sz w:val="24"/>
          <w:szCs w:val="24"/>
          <w:lang w:val="hy-AM"/>
        </w:rPr>
        <w:t xml:space="preserve">, </w:t>
      </w:r>
      <w:r w:rsidRPr="00760B2E">
        <w:rPr>
          <w:rFonts w:ascii="GHEA Grapalat" w:hAnsi="GHEA Grapalat"/>
          <w:sz w:val="24"/>
          <w:szCs w:val="24"/>
          <w:lang w:val="hy-AM"/>
        </w:rPr>
        <w:t>քաղաքացիական հասարակության և ակադեմիայի, ոլորտի մասնավոր ընկերությունների, ա</w:t>
      </w:r>
      <w:r w:rsidR="00760B2E" w:rsidRPr="00760B2E">
        <w:rPr>
          <w:rFonts w:ascii="GHEA Grapalat" w:hAnsi="GHEA Grapalat"/>
          <w:sz w:val="24"/>
          <w:szCs w:val="24"/>
          <w:lang w:val="hy-AM"/>
        </w:rPr>
        <w:t>ռ</w:t>
      </w:r>
      <w:r w:rsidRPr="00760B2E">
        <w:rPr>
          <w:rFonts w:ascii="GHEA Grapalat" w:hAnsi="GHEA Grapalat"/>
          <w:sz w:val="24"/>
          <w:szCs w:val="24"/>
          <w:lang w:val="hy-AM"/>
        </w:rPr>
        <w:t xml:space="preserve">անձին մարմինների (Կենտրոնական Բանկ, Էթիկայի հանձնաժողով) ներկայացուցիչները: </w:t>
      </w:r>
    </w:p>
    <w:p w:rsidR="00D7659C" w:rsidRDefault="00D7659C" w:rsidP="00760B2E">
      <w:pPr>
        <w:spacing w:after="0" w:line="360" w:lineRule="auto"/>
        <w:ind w:firstLine="720"/>
        <w:jc w:val="both"/>
        <w:rPr>
          <w:rFonts w:ascii="GHEA Grapalat" w:hAnsi="GHEA Grapalat"/>
          <w:lang w:val="hy-AM"/>
        </w:rPr>
      </w:pPr>
    </w:p>
    <w:p w:rsidR="00D7659C" w:rsidRPr="00760B2E" w:rsidRDefault="00D7659C" w:rsidP="00760B2E">
      <w:pPr>
        <w:spacing w:after="0" w:line="360" w:lineRule="auto"/>
        <w:jc w:val="both"/>
        <w:rPr>
          <w:rFonts w:ascii="GHEA Grapalat" w:hAnsi="GHEA Grapalat"/>
          <w:b/>
          <w:i/>
          <w:sz w:val="24"/>
          <w:szCs w:val="24"/>
          <w:lang w:val="hy-AM"/>
        </w:rPr>
      </w:pPr>
      <w:r w:rsidRPr="00760B2E">
        <w:rPr>
          <w:rFonts w:ascii="GHEA Grapalat" w:hAnsi="GHEA Grapalat"/>
          <w:b/>
          <w:i/>
          <w:sz w:val="24"/>
          <w:szCs w:val="24"/>
          <w:lang w:val="hy-AM"/>
        </w:rPr>
        <w:t>Միջազգային ստանդարտներ և այլ երկրների փորձ՝ շեմեր և փաստացի իրավիճակ</w:t>
      </w:r>
    </w:p>
    <w:p w:rsidR="00D7659C" w:rsidRPr="00760B2E" w:rsidRDefault="00D7659C" w:rsidP="00760B2E">
      <w:pPr>
        <w:spacing w:after="0" w:line="360" w:lineRule="auto"/>
        <w:ind w:firstLine="720"/>
        <w:jc w:val="both"/>
        <w:rPr>
          <w:rFonts w:ascii="GHEA Grapalat" w:hAnsi="GHEA Grapalat"/>
          <w:sz w:val="24"/>
          <w:szCs w:val="24"/>
          <w:lang w:val="hy-AM"/>
        </w:rPr>
      </w:pPr>
      <w:r w:rsidRPr="00760B2E">
        <w:rPr>
          <w:rFonts w:ascii="GHEA Grapalat" w:hAnsi="GHEA Grapalat"/>
          <w:sz w:val="24"/>
          <w:szCs w:val="24"/>
          <w:lang w:val="hy-AM"/>
        </w:rPr>
        <w:t>Արդյունավետության նույն այդ պատճառաբանությամբ շեմեր սահմանված են ոչ միայն արդյունահանող ճյուղերին վերաբերող ԱՃԹՆ ստանդարտով, այլև ավելի ընդհանուր միջազգային կանոնակարգերով, ինչպիսիք են Ֆինանսական միջոցառումների աշխատանքային խմբի՝ (</w:t>
      </w:r>
      <w:r w:rsidRPr="00760B2E">
        <w:rPr>
          <w:rFonts w:ascii="GHEA Grapalat" w:hAnsi="GHEA Grapalat"/>
          <w:b/>
          <w:sz w:val="24"/>
          <w:szCs w:val="24"/>
          <w:lang w:val="hy-AM"/>
        </w:rPr>
        <w:t>ՖԱԹՖ</w:t>
      </w:r>
      <w:r w:rsidRPr="00760B2E">
        <w:rPr>
          <w:rFonts w:ascii="GHEA Grapalat" w:hAnsi="GHEA Grapalat"/>
          <w:sz w:val="24"/>
          <w:szCs w:val="24"/>
          <w:lang w:val="hy-AM"/>
        </w:rPr>
        <w:t>) միջկառավարական</w:t>
      </w:r>
      <w:r w:rsidR="00760B2E" w:rsidRPr="00760B2E">
        <w:rPr>
          <w:rFonts w:ascii="GHEA Grapalat" w:hAnsi="GHEA Grapalat"/>
          <w:sz w:val="24"/>
          <w:szCs w:val="24"/>
          <w:lang w:val="hy-AM"/>
        </w:rPr>
        <w:t xml:space="preserve"> </w:t>
      </w:r>
      <w:r w:rsidRPr="00760B2E">
        <w:rPr>
          <w:rFonts w:ascii="GHEA Grapalat" w:hAnsi="GHEA Grapalat"/>
          <w:sz w:val="24"/>
          <w:szCs w:val="24"/>
          <w:lang w:val="hy-AM"/>
        </w:rPr>
        <w:t xml:space="preserve">անկախ մարմնի հրահանգը կամ </w:t>
      </w:r>
      <w:r w:rsidRPr="00760B2E">
        <w:rPr>
          <w:rFonts w:ascii="GHEA Grapalat" w:hAnsi="GHEA Grapalat"/>
          <w:b/>
          <w:sz w:val="24"/>
          <w:szCs w:val="24"/>
          <w:lang w:val="hy-AM"/>
        </w:rPr>
        <w:t>ԵՄ ՓԼ/ԱՖ դեմ պայքարի վերաբերյալ հանձնարարական:</w:t>
      </w:r>
      <w:r w:rsidR="00760B2E" w:rsidRPr="00760B2E">
        <w:rPr>
          <w:rFonts w:ascii="GHEA Grapalat" w:hAnsi="GHEA Grapalat"/>
          <w:b/>
          <w:sz w:val="24"/>
          <w:szCs w:val="24"/>
          <w:lang w:val="hy-AM"/>
        </w:rPr>
        <w:t xml:space="preserve"> </w:t>
      </w:r>
      <w:r w:rsidRPr="00760B2E">
        <w:rPr>
          <w:rFonts w:ascii="GHEA Grapalat" w:hAnsi="GHEA Grapalat"/>
          <w:b/>
          <w:sz w:val="24"/>
          <w:szCs w:val="24"/>
          <w:lang w:val="hy-AM"/>
        </w:rPr>
        <w:t xml:space="preserve">Մեր կողմից </w:t>
      </w:r>
      <w:r w:rsidR="004A3365" w:rsidRPr="00760B2E">
        <w:rPr>
          <w:rFonts w:ascii="GHEA Grapalat" w:hAnsi="GHEA Grapalat"/>
          <w:b/>
          <w:sz w:val="24"/>
          <w:szCs w:val="24"/>
          <w:lang w:val="hy-AM"/>
        </w:rPr>
        <w:t>շուրջ 30</w:t>
      </w:r>
      <w:r w:rsidRPr="00760B2E">
        <w:rPr>
          <w:rFonts w:ascii="GHEA Grapalat" w:hAnsi="GHEA Grapalat"/>
          <w:b/>
          <w:sz w:val="24"/>
          <w:szCs w:val="24"/>
          <w:lang w:val="hy-AM"/>
        </w:rPr>
        <w:t xml:space="preserve"> եվրոպական երկրների օրենքների</w:t>
      </w:r>
      <w:r w:rsidRPr="00760B2E">
        <w:rPr>
          <w:rFonts w:ascii="GHEA Grapalat" w:hAnsi="GHEA Grapalat"/>
          <w:sz w:val="24"/>
          <w:szCs w:val="24"/>
          <w:lang w:val="hy-AM"/>
        </w:rPr>
        <w:t xml:space="preserve"> և օրենսդրական նախագծերի ուսումնասիրությունը ցույց է տվել, որ վերջիններս հաստատել են </w:t>
      </w:r>
      <w:r w:rsidRPr="00760B2E">
        <w:rPr>
          <w:rFonts w:ascii="GHEA Grapalat" w:hAnsi="GHEA Grapalat"/>
          <w:b/>
          <w:sz w:val="24"/>
          <w:szCs w:val="24"/>
          <w:lang w:val="hy-AM"/>
        </w:rPr>
        <w:t>25%</w:t>
      </w:r>
      <w:r w:rsidRPr="00760B2E">
        <w:rPr>
          <w:rFonts w:ascii="GHEA Grapalat" w:hAnsi="GHEA Grapalat"/>
          <w:sz w:val="24"/>
          <w:szCs w:val="24"/>
          <w:lang w:val="hy-AM"/>
        </w:rPr>
        <w:t xml:space="preserve"> սեփականատիրության շեմ, այդ թվում՝ Մեծ Բրիտանիան, Գերմանիան, Ֆրանսիան, Նիդերլանդները, Լատվիան, Սլովակիան, Ոկրաինան, Լեհաստանը, Շվեդիան և այլն: </w:t>
      </w:r>
      <w:r w:rsidR="00582758" w:rsidRPr="00760B2E">
        <w:rPr>
          <w:rFonts w:ascii="GHEA Grapalat" w:hAnsi="GHEA Grapalat"/>
          <w:sz w:val="24"/>
          <w:szCs w:val="24"/>
          <w:lang w:val="hy-AM"/>
        </w:rPr>
        <w:t>2015թ. ընդունված ԵՄ 4-րդ դիրեկտիվը փոփոխելիս ակտիվորեն քննարկվում էր սահմանված 25% շեմն իջեցնելու գաղափարը, սակայն 2018թ. ընդունված 5-րդ դիրեկտիվում այդ շեմը մնաց անփոփոխ՝ հիմք ընդունելով ԵՄ զարգացած երկրների կողմից նման ռեգիստր ստեղծելու դժվարությունները: ԵՄ տասնյակ երկրներ ամբողջովին չեն ապահովել ԵՄ դիրեկտիվով սահմանված  բարեփոխումները 2018թ. համար սահմանված վերջնաժամկետում:</w:t>
      </w:r>
    </w:p>
    <w:p w:rsidR="00D7659C" w:rsidRPr="00760B2E" w:rsidRDefault="00D7659C" w:rsidP="00760B2E">
      <w:pPr>
        <w:pStyle w:val="ListParagraph"/>
        <w:numPr>
          <w:ilvl w:val="0"/>
          <w:numId w:val="3"/>
        </w:numPr>
        <w:spacing w:after="0" w:line="360" w:lineRule="auto"/>
        <w:ind w:left="0" w:firstLine="851"/>
        <w:jc w:val="both"/>
        <w:rPr>
          <w:rFonts w:ascii="GHEA Grapalat" w:hAnsi="GHEA Grapalat"/>
          <w:sz w:val="24"/>
          <w:szCs w:val="24"/>
          <w:lang w:val="hy-AM"/>
        </w:rPr>
      </w:pPr>
      <w:r w:rsidRPr="00760B2E">
        <w:rPr>
          <w:rFonts w:ascii="GHEA Grapalat" w:hAnsi="GHEA Grapalat"/>
          <w:sz w:val="24"/>
          <w:szCs w:val="24"/>
          <w:lang w:val="hy-AM"/>
        </w:rPr>
        <w:t xml:space="preserve">Այդուհանդերձ, ուսումնասիրելով փաստացի իրավիճակը, ակնհայտ է, որ անգամ զարգացած ինստիտուցիոնալ համակարգեր ունեցող երկրների համար </w:t>
      </w:r>
      <w:r w:rsidRPr="00760B2E">
        <w:rPr>
          <w:rFonts w:ascii="GHEA Grapalat" w:hAnsi="GHEA Grapalat"/>
          <w:sz w:val="24"/>
          <w:szCs w:val="24"/>
          <w:lang w:val="hy-AM"/>
        </w:rPr>
        <w:lastRenderedPageBreak/>
        <w:t xml:space="preserve">ռեգիստրի ներդրումը լրջագույն մարտահրավեր է Հայաստանից  կրկնակի բարձր շեմերի սահմանման դեպքում: </w:t>
      </w:r>
    </w:p>
    <w:p w:rsidR="00D7659C" w:rsidRPr="00760B2E" w:rsidRDefault="00D7659C" w:rsidP="00760B2E">
      <w:pPr>
        <w:pStyle w:val="ListParagraph"/>
        <w:numPr>
          <w:ilvl w:val="0"/>
          <w:numId w:val="3"/>
        </w:numPr>
        <w:spacing w:after="0" w:line="360" w:lineRule="auto"/>
        <w:ind w:left="0" w:firstLine="851"/>
        <w:jc w:val="both"/>
        <w:rPr>
          <w:rFonts w:ascii="GHEA Grapalat" w:hAnsi="GHEA Grapalat"/>
          <w:sz w:val="24"/>
          <w:szCs w:val="24"/>
          <w:lang w:val="hy-AM"/>
        </w:rPr>
      </w:pPr>
      <w:r w:rsidRPr="00760B2E">
        <w:rPr>
          <w:rFonts w:ascii="GHEA Grapalat" w:hAnsi="GHEA Grapalat"/>
          <w:sz w:val="24"/>
          <w:szCs w:val="24"/>
          <w:lang w:val="hy-AM"/>
        </w:rPr>
        <w:t xml:space="preserve">Թրանսփարենսի ինթերնեյշնլը 2018թ. հրապարակած ուսումնասիրության մեջ եզրակացրել էր, որ նույնիսկ </w:t>
      </w:r>
      <w:r w:rsidRPr="00760B2E">
        <w:rPr>
          <w:rFonts w:ascii="GHEA Grapalat" w:hAnsi="GHEA Grapalat"/>
          <w:b/>
          <w:sz w:val="24"/>
          <w:szCs w:val="24"/>
          <w:lang w:val="hy-AM"/>
        </w:rPr>
        <w:t>Մեծ քսանի</w:t>
      </w:r>
      <w:r w:rsidRPr="00760B2E">
        <w:rPr>
          <w:rFonts w:ascii="GHEA Grapalat" w:hAnsi="GHEA Grapalat"/>
          <w:sz w:val="24"/>
          <w:szCs w:val="24"/>
          <w:lang w:val="hy-AM"/>
        </w:rPr>
        <w:t xml:space="preserve"> պետությունները բավական դանդաղ քայլերով են առաջ գնում ոլորտում ներդրման բարդություններից ելնելով, իսկ որոշ առաջատար զարգացած երկրներ առանձին ցուցանիշներով ստացել են նվազագույն գնահատականներ:</w:t>
      </w:r>
    </w:p>
    <w:p w:rsidR="00D7659C" w:rsidRPr="00760B2E" w:rsidRDefault="00D7659C" w:rsidP="00760B2E">
      <w:pPr>
        <w:pStyle w:val="ListParagraph"/>
        <w:numPr>
          <w:ilvl w:val="0"/>
          <w:numId w:val="3"/>
        </w:numPr>
        <w:spacing w:after="0" w:line="360" w:lineRule="auto"/>
        <w:ind w:left="0" w:firstLine="851"/>
        <w:jc w:val="both"/>
        <w:rPr>
          <w:rFonts w:ascii="GHEA Grapalat" w:hAnsi="GHEA Grapalat"/>
          <w:sz w:val="24"/>
          <w:szCs w:val="24"/>
          <w:lang w:val="hy-AM"/>
        </w:rPr>
      </w:pPr>
      <w:r w:rsidRPr="00760B2E">
        <w:rPr>
          <w:rFonts w:ascii="GHEA Grapalat" w:hAnsi="GHEA Grapalat"/>
          <w:b/>
          <w:sz w:val="24"/>
          <w:szCs w:val="24"/>
          <w:lang w:val="hy-AM"/>
        </w:rPr>
        <w:t xml:space="preserve">ԵՄ օժանդակությամբ կատարված ուսումնասիրության համաձայն </w:t>
      </w:r>
      <w:r w:rsidRPr="00760B2E">
        <w:rPr>
          <w:rFonts w:ascii="GHEA Grapalat" w:hAnsi="GHEA Grapalat"/>
          <w:sz w:val="24"/>
          <w:szCs w:val="24"/>
          <w:lang w:val="hy-AM"/>
        </w:rPr>
        <w:t>որոշ երկրների շեմեր ցածր են (Կյուրասաո, Պորտուգալիա), բայց վերջնական շահառուների օրենսդրությունը արդյունավետ չէ: Ուրուգվայը և Կոստա Ռիկան  սահմանել են 25%-ից պակաս շեմ, սակայն տվյալները հրապարակային չեն: Եվրոպական երկրների ճնշող մեծամասնության մոտ հիմնական տվյալների մեծ մասը նույնպես հրապարակային չէ կամ լավագույն դեպքում տրվում է գրանցված դիմումատուի պատճառաբանված նամակի հիման վրա: 2019թ. ապրիլի 4-ին Դանիայի ներկայացված օրենդրական փաթեթը ևս այդպիսին է, Մեծ Բրիտանիայում ԻՍ-երը ունեն իրենց տվյալները չհրապարակելու պահանջի ներկայացման իրավունք: Ավելին, այնտեղ օրենքով հնարավոր է իրավիճակ, երբ ընկերությունը չի ներկայացնում շահառուի մասին տվյալներ: Նման դեպքերը մեր օրենսդրությամբ մենք բացառել ենք: Այլ երկրներում հրապարակայնության սահմանափակումները հիմնավորվել են թե՛ անձնական տվյալների պաշտպանության խնդրով, թե՛ ռեսուրսների անհամաչափ ծախսի և թե՛ վարչարարական բեռի անհամաչափ ավելացմամբ: Իսկ տվյալները Հայաստանում լինելու են հանրության համար առավելագույնս բաց՝ անվճար հիմքով, բացառելով միայն անձնական տվյալների հրապարակումը</w:t>
      </w:r>
      <w:r w:rsidR="00D36749" w:rsidRPr="00760B2E">
        <w:rPr>
          <w:rFonts w:ascii="GHEA Grapalat" w:hAnsi="GHEA Grapalat"/>
          <w:sz w:val="24"/>
          <w:szCs w:val="24"/>
          <w:lang w:val="hy-AM"/>
        </w:rPr>
        <w:t xml:space="preserve">: </w:t>
      </w:r>
    </w:p>
    <w:p w:rsidR="00D7659C" w:rsidRPr="00760B2E" w:rsidRDefault="00D7659C" w:rsidP="00760B2E">
      <w:pPr>
        <w:pStyle w:val="ListParagraph"/>
        <w:numPr>
          <w:ilvl w:val="0"/>
          <w:numId w:val="3"/>
        </w:numPr>
        <w:spacing w:after="0" w:line="360" w:lineRule="auto"/>
        <w:ind w:left="0" w:firstLine="851"/>
        <w:jc w:val="both"/>
        <w:rPr>
          <w:rFonts w:ascii="GHEA Grapalat" w:hAnsi="GHEA Grapalat"/>
          <w:sz w:val="24"/>
          <w:szCs w:val="24"/>
          <w:lang w:val="hy-AM"/>
        </w:rPr>
      </w:pPr>
      <w:r w:rsidRPr="00760B2E">
        <w:rPr>
          <w:rFonts w:ascii="GHEA Grapalat" w:hAnsi="GHEA Grapalat"/>
          <w:b/>
          <w:sz w:val="24"/>
          <w:szCs w:val="24"/>
          <w:lang w:val="hy-AM"/>
        </w:rPr>
        <w:t xml:space="preserve">Ինտեր-ամերիկյան զարգացման բանկի կողմից վարկավորվող 26 պետություններից գրեթե բոլորի օրենքներում </w:t>
      </w:r>
      <w:r w:rsidRPr="00760B2E">
        <w:rPr>
          <w:rFonts w:ascii="GHEA Grapalat" w:hAnsi="GHEA Grapalat"/>
          <w:sz w:val="24"/>
          <w:szCs w:val="24"/>
          <w:lang w:val="hy-AM"/>
        </w:rPr>
        <w:t xml:space="preserve"> կան սահմանված շեմեր: Ընդ որում,  այն երկրներում, որտեղ օրենքով շեմ չկա սահմանված (Բոլիվիա, Էլ Սալվադոր, Պերու) իրական կյանքում շատ ավելի դժվար է սահմանել և գտնել վերջնական շահառուներին:</w:t>
      </w:r>
    </w:p>
    <w:p w:rsidR="00D7659C" w:rsidRPr="00760B2E" w:rsidRDefault="00D7659C" w:rsidP="00760B2E">
      <w:pPr>
        <w:pStyle w:val="ListParagraph"/>
        <w:numPr>
          <w:ilvl w:val="0"/>
          <w:numId w:val="3"/>
        </w:numPr>
        <w:spacing w:after="0" w:line="360" w:lineRule="auto"/>
        <w:ind w:left="0" w:firstLine="851"/>
        <w:jc w:val="both"/>
        <w:rPr>
          <w:rFonts w:ascii="GHEA Grapalat" w:hAnsi="GHEA Grapalat"/>
          <w:sz w:val="24"/>
          <w:szCs w:val="24"/>
          <w:lang w:val="hy-AM"/>
        </w:rPr>
      </w:pPr>
      <w:r w:rsidRPr="00760B2E">
        <w:rPr>
          <w:rFonts w:ascii="GHEA Grapalat" w:hAnsi="GHEA Grapalat"/>
          <w:sz w:val="24"/>
          <w:szCs w:val="24"/>
          <w:lang w:val="hy-AM"/>
        </w:rPr>
        <w:lastRenderedPageBreak/>
        <w:t>Այն երկրները, որտեղ շեմ չկա սահմանված օրենքով կամ օրենքի նախագծով, Նիգերը, Նիգերիան, Բուրկինա Ֆասոն և Տոգոն էին, արդյունավետ ԻՍ ռեգիստրի վերաբերյալ որևէ վկայությու</w:t>
      </w:r>
      <w:r w:rsidR="004A3365" w:rsidRPr="00760B2E">
        <w:rPr>
          <w:rFonts w:ascii="GHEA Grapalat" w:hAnsi="GHEA Grapalat"/>
          <w:sz w:val="24"/>
          <w:szCs w:val="24"/>
          <w:lang w:val="hy-AM"/>
        </w:rPr>
        <w:t>ն</w:t>
      </w:r>
      <w:r w:rsidRPr="00760B2E">
        <w:rPr>
          <w:rFonts w:ascii="GHEA Grapalat" w:hAnsi="GHEA Grapalat"/>
          <w:sz w:val="24"/>
          <w:szCs w:val="24"/>
          <w:lang w:val="hy-AM"/>
        </w:rPr>
        <w:t xml:space="preserve"> չկա: </w:t>
      </w:r>
    </w:p>
    <w:p w:rsidR="00D7659C" w:rsidRPr="00760B2E" w:rsidRDefault="00D7659C" w:rsidP="00760B2E">
      <w:pPr>
        <w:pStyle w:val="ListParagraph"/>
        <w:spacing w:after="0" w:line="360" w:lineRule="auto"/>
        <w:ind w:left="0" w:firstLine="851"/>
        <w:jc w:val="both"/>
        <w:rPr>
          <w:rFonts w:ascii="GHEA Grapalat" w:hAnsi="GHEA Grapalat"/>
          <w:sz w:val="24"/>
          <w:szCs w:val="24"/>
          <w:lang w:val="hy-AM"/>
        </w:rPr>
      </w:pPr>
    </w:p>
    <w:p w:rsidR="00B2547D" w:rsidRPr="00760B2E" w:rsidRDefault="00B2547D" w:rsidP="00760B2E">
      <w:pPr>
        <w:spacing w:after="0" w:line="360" w:lineRule="auto"/>
        <w:rPr>
          <w:sz w:val="24"/>
          <w:szCs w:val="24"/>
          <w:lang w:val="hy-AM"/>
        </w:rPr>
      </w:pPr>
      <w:bookmarkStart w:id="0" w:name="_GoBack"/>
      <w:bookmarkEnd w:id="0"/>
    </w:p>
    <w:sectPr w:rsidR="00B2547D" w:rsidRPr="00760B2E" w:rsidSect="00760B2E">
      <w:footerReference w:type="default" r:id="rId7"/>
      <w:pgSz w:w="12240" w:h="15840"/>
      <w:pgMar w:top="993"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598" w:rsidRDefault="00572598" w:rsidP="00A857F4">
      <w:pPr>
        <w:spacing w:after="0" w:line="240" w:lineRule="auto"/>
      </w:pPr>
      <w:r>
        <w:separator/>
      </w:r>
    </w:p>
  </w:endnote>
  <w:endnote w:type="continuationSeparator" w:id="0">
    <w:p w:rsidR="00572598" w:rsidRDefault="00572598" w:rsidP="00A8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810428"/>
      <w:docPartObj>
        <w:docPartGallery w:val="Page Numbers (Bottom of Page)"/>
        <w:docPartUnique/>
      </w:docPartObj>
    </w:sdtPr>
    <w:sdtEndPr>
      <w:rPr>
        <w:noProof/>
      </w:rPr>
    </w:sdtEndPr>
    <w:sdtContent>
      <w:p w:rsidR="00A857F4" w:rsidRDefault="006C62AC">
        <w:pPr>
          <w:pStyle w:val="Footer"/>
          <w:jc w:val="right"/>
        </w:pPr>
        <w:r>
          <w:fldChar w:fldCharType="begin"/>
        </w:r>
        <w:r w:rsidR="00A857F4">
          <w:instrText xml:space="preserve"> PAGE   \* MERGEFORMAT </w:instrText>
        </w:r>
        <w:r>
          <w:fldChar w:fldCharType="separate"/>
        </w:r>
        <w:r w:rsidR="00016E52">
          <w:rPr>
            <w:noProof/>
          </w:rPr>
          <w:t>3</w:t>
        </w:r>
        <w:r>
          <w:rPr>
            <w:noProof/>
          </w:rPr>
          <w:fldChar w:fldCharType="end"/>
        </w:r>
      </w:p>
    </w:sdtContent>
  </w:sdt>
  <w:p w:rsidR="00A857F4" w:rsidRDefault="00A857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598" w:rsidRDefault="00572598" w:rsidP="00A857F4">
      <w:pPr>
        <w:spacing w:after="0" w:line="240" w:lineRule="auto"/>
      </w:pPr>
      <w:r>
        <w:separator/>
      </w:r>
    </w:p>
  </w:footnote>
  <w:footnote w:type="continuationSeparator" w:id="0">
    <w:p w:rsidR="00572598" w:rsidRDefault="00572598" w:rsidP="00A85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55555"/>
    <w:multiLevelType w:val="hybridMultilevel"/>
    <w:tmpl w:val="C33E9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B063C2"/>
    <w:multiLevelType w:val="hybridMultilevel"/>
    <w:tmpl w:val="F52E8AC4"/>
    <w:lvl w:ilvl="0" w:tplc="ED847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667771"/>
    <w:multiLevelType w:val="hybridMultilevel"/>
    <w:tmpl w:val="F4920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2E78"/>
    <w:rsid w:val="00016E52"/>
    <w:rsid w:val="00022E78"/>
    <w:rsid w:val="004A3365"/>
    <w:rsid w:val="00572598"/>
    <w:rsid w:val="00582758"/>
    <w:rsid w:val="006C62AC"/>
    <w:rsid w:val="00760B2E"/>
    <w:rsid w:val="008A5E91"/>
    <w:rsid w:val="00A071EA"/>
    <w:rsid w:val="00A857F4"/>
    <w:rsid w:val="00B2547D"/>
    <w:rsid w:val="00C31C6A"/>
    <w:rsid w:val="00D36749"/>
    <w:rsid w:val="00D765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D0BC"/>
  <w15:docId w15:val="{43AC5374-FD51-4461-A23A-DF1BB5F5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59C"/>
    <w:pPr>
      <w:ind w:left="720"/>
      <w:contextualSpacing/>
    </w:pPr>
  </w:style>
  <w:style w:type="character" w:styleId="CommentReference">
    <w:name w:val="annotation reference"/>
    <w:basedOn w:val="DefaultParagraphFont"/>
    <w:uiPriority w:val="99"/>
    <w:semiHidden/>
    <w:unhideWhenUsed/>
    <w:rsid w:val="00D7659C"/>
    <w:rPr>
      <w:sz w:val="16"/>
      <w:szCs w:val="16"/>
    </w:rPr>
  </w:style>
  <w:style w:type="paragraph" w:styleId="Header">
    <w:name w:val="header"/>
    <w:basedOn w:val="Normal"/>
    <w:link w:val="HeaderChar"/>
    <w:uiPriority w:val="99"/>
    <w:unhideWhenUsed/>
    <w:rsid w:val="00A857F4"/>
    <w:pPr>
      <w:tabs>
        <w:tab w:val="center" w:pos="4844"/>
        <w:tab w:val="right" w:pos="9689"/>
      </w:tabs>
      <w:spacing w:after="0" w:line="240" w:lineRule="auto"/>
    </w:pPr>
  </w:style>
  <w:style w:type="character" w:customStyle="1" w:styleId="HeaderChar">
    <w:name w:val="Header Char"/>
    <w:basedOn w:val="DefaultParagraphFont"/>
    <w:link w:val="Header"/>
    <w:uiPriority w:val="99"/>
    <w:rsid w:val="00A857F4"/>
  </w:style>
  <w:style w:type="paragraph" w:styleId="Footer">
    <w:name w:val="footer"/>
    <w:basedOn w:val="Normal"/>
    <w:link w:val="FooterChar"/>
    <w:uiPriority w:val="99"/>
    <w:unhideWhenUsed/>
    <w:rsid w:val="00A857F4"/>
    <w:pPr>
      <w:tabs>
        <w:tab w:val="center" w:pos="4844"/>
        <w:tab w:val="right" w:pos="9689"/>
      </w:tabs>
      <w:spacing w:after="0" w:line="240" w:lineRule="auto"/>
    </w:pPr>
  </w:style>
  <w:style w:type="character" w:customStyle="1" w:styleId="FooterChar">
    <w:name w:val="Footer Char"/>
    <w:basedOn w:val="DefaultParagraphFont"/>
    <w:link w:val="Footer"/>
    <w:uiPriority w:val="99"/>
    <w:rsid w:val="00A8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https://mul2.gov.am/tasks/94982/oneclick/1.0.Texekanq_himnavorum_IS.docx?token=f4ae53f8653d699369ce82698953e6ca</cp:keywords>
  <cp:lastModifiedBy>Zohrab Daveyan</cp:lastModifiedBy>
  <cp:revision>2</cp:revision>
  <dcterms:created xsi:type="dcterms:W3CDTF">2019-07-18T06:12:00Z</dcterms:created>
  <dcterms:modified xsi:type="dcterms:W3CDTF">2019-07-18T06:13:00Z</dcterms:modified>
</cp:coreProperties>
</file>