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67" w:rsidRDefault="00BB2367" w:rsidP="00BB2367">
      <w:pPr>
        <w:spacing w:after="0" w:line="24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BB2367" w:rsidRDefault="00BB2367" w:rsidP="00BB236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B2367" w:rsidRDefault="00BB2367" w:rsidP="00BB236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ՀՈՒԼԻՍԻ 10-Ի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N 792-Ն</w:t>
      </w:r>
      <w:r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</w:t>
      </w:r>
      <w:r w:rsidR="00907EB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ԼՐԱՑՈՒՄ ԿԱՏԱՐԵԼՈՒ ՄԱՍԻՆ» ԿԱՌԱՎԱՐՈՒԹՅԱՆ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 ՆԱԽԱԳԾԻ ԸՆԴՈՒՆՄԱՆ ՎԵՐԱ</w:t>
      </w:r>
      <w:r w:rsidR="009D3C5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Բ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ԵՐՅԱԼ</w:t>
      </w:r>
    </w:p>
    <w:p w:rsidR="00BB2367" w:rsidRDefault="00BB2367" w:rsidP="00BB236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BB2367" w:rsidRDefault="00BB2367" w:rsidP="00BB236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BB2367" w:rsidRDefault="00BB2367" w:rsidP="00BB236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 w:eastAsia="x-none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BB2367" w:rsidRDefault="00BB2367" w:rsidP="00BB2367">
      <w:pPr>
        <w:spacing w:after="0" w:line="240" w:lineRule="auto"/>
        <w:ind w:left="720"/>
        <w:contextualSpacing/>
        <w:jc w:val="both"/>
        <w:rPr>
          <w:rFonts w:ascii="GHEA Mariam" w:eastAsia="Calibri" w:hAnsi="GHEA Mariam" w:cs="Times New Roman"/>
          <w:b/>
          <w:lang w:val="hy-AM"/>
        </w:rPr>
      </w:pPr>
    </w:p>
    <w:p w:rsidR="006F13AA" w:rsidRDefault="00BB2367" w:rsidP="006F13AA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լրացում  կատարելու 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ընդունման անհրաժեշտությունը պայմանավորված է </w:t>
      </w:r>
      <w:r w:rsidR="006F13AA">
        <w:rPr>
          <w:rFonts w:ascii="GHEA Grapalat" w:hAnsi="GHEA Grapalat"/>
          <w:sz w:val="24"/>
          <w:szCs w:val="24"/>
          <w:lang w:val="hy-AM"/>
        </w:rPr>
        <w:t>«Քաղաքա</w:t>
      </w:r>
      <w:r w:rsidR="009D467B">
        <w:rPr>
          <w:rFonts w:ascii="GHEA Grapalat" w:hAnsi="GHEA Grapalat"/>
          <w:sz w:val="24"/>
          <w:szCs w:val="24"/>
          <w:lang w:val="hy-AM"/>
        </w:rPr>
        <w:t xml:space="preserve">ցիական ծառայության մասին» օրենքի 23-րդ հոդվածի 6-րդ մասով, որի համաձայն՝ </w:t>
      </w:r>
      <w:r w:rsidR="009D3C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D467B" w:rsidRPr="009D4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ռաջխաղացման դեպքում քաղաքացիական ծառայողի հետ կնքվում է ժամկետային աշխատանքային պայմանագիր, և հայտարարվում է մրցույթ տվյալ պաշտոն</w:t>
      </w:r>
      <w:r w:rsidR="00135C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D467B" w:rsidRPr="009D4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զբաղեցնելու համար:</w:t>
      </w:r>
    </w:p>
    <w:p w:rsidR="008C6FB5" w:rsidRDefault="005778F5" w:rsidP="006F13AA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1E7741" w:rsidRPr="001E77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</w:t>
      </w:r>
      <w:r w:rsidR="001E77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 հուլիսի 10-ի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C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«Ժամկետային աշխատանքային պայմանագիր կնքելու կարգը սահմանելու մասին</w:t>
      </w:r>
      <w:r w:rsidR="00135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36D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7FB8" w:rsidRP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9D3C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792-Ն որոշմամբ </w:t>
      </w:r>
      <w:r w:rsidR="00513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9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  քաղաքացիական ծառայության թափուր պաշտոնը զբաղեցնելու համար պաշտոնի նշանակելու իրավասություն ունեցող անձը հրապարակում է հայտարարություն,</w:t>
      </w:r>
      <w:r w:rsidR="008C6F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սակայն կառավարության որոշմամբ նախատեսված են միայն ընդհանուր դրույթներ ժամկետային աշխատանքային պայմանագիր կնքելու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կարգի</w:t>
      </w:r>
      <w:r w:rsidR="008C6F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կապված, իսկ առանձին դեպքերի համար հատուկ նորմերը բացակայում են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մասնավորապես</w:t>
      </w:r>
      <w:r w:rsidR="009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չկան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նորմեր այն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</w:t>
      </w:r>
      <w:r w:rsidR="006A6644" w:rsidRP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առաջխաղացման դեպքում </w:t>
      </w:r>
      <w:r w:rsidR="00A95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 ձևով և երբ է կնքվում ժակետային աշխատանքային պայմանագիր:</w:t>
      </w:r>
    </w:p>
    <w:p w:rsidR="009D3C53" w:rsidRDefault="008C6FB5" w:rsidP="006F13AA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երը նշված օրենքի 23-րդ հոդվածի 6-րդ մասից 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բխում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 որ առաջխաղացման դեպքում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կոնկրետ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քաղաքացիական ծառայողի հետ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կնքվում է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ժամկետային աշխատանքային պայմանագիր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առանց 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հայտարարություն հրապարակելու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քանի որ առաջխաղացման դեպքում </w:t>
      </w:r>
      <w:r w:rsidR="00150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անձը, որի հետ պետք է կնքվի պայմանագիր արդեն իսկ 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հայտնի</w:t>
      </w:r>
      <w:r w:rsidR="00150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հայտարարություն հրապարակելու անհրաժեշտություն չկա,</w:t>
      </w:r>
      <w:r w:rsidR="00150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66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սակայն</w:t>
      </w:r>
      <w:r w:rsidR="00ED7F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23-րդ հոդվածի 6-րդ մասի լիարժեք կիրարկումը  գործնականում անհնար է դառնում, ուստի </w:t>
      </w:r>
      <w:r w:rsidR="003172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մշակվել</w:t>
      </w:r>
      <w:r w:rsidR="00577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նախագիծ, որի նպատակն է ապահովել նշված նորմի լիարժեք և արդյունավետ կիրարկումը:</w:t>
      </w:r>
    </w:p>
    <w:p w:rsidR="00971601" w:rsidRPr="006A6644" w:rsidRDefault="009D3C53" w:rsidP="006A664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B2367" w:rsidRPr="006F13AA" w:rsidRDefault="00BB2367" w:rsidP="006F13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6F13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:rsidR="00971601" w:rsidRPr="009D3C53" w:rsidRDefault="00BB2367" w:rsidP="009D3C53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լրացում կատարելու 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որոշման նախագիծը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մշակվել է վարչապետի աշխատակազմի քաղաքացիական ծառայության գրասենյակի կողմից:</w:t>
      </w:r>
    </w:p>
    <w:p w:rsidR="009D467B" w:rsidRPr="00971601" w:rsidRDefault="00BB2367" w:rsidP="009716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971601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BB2367" w:rsidRDefault="00BB2367" w:rsidP="00BB236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«Հայաստանի Հանրապետության կառավարության 2018 թվականի հուլիսի 10-ի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N 792-Ն որոշման մեջ լրացում կատարելու մասին»</w:t>
      </w:r>
      <w:r>
        <w:rPr>
          <w:rFonts w:ascii="GHEA Grapalat" w:hAnsi="GHEA Grapalat"/>
          <w:lang w:val="hy-AM"/>
        </w:rPr>
        <w:t xml:space="preserve"> կառավարության որոշման նախ</w:t>
      </w:r>
      <w:r w:rsidR="000F5F2E">
        <w:rPr>
          <w:rFonts w:ascii="GHEA Grapalat" w:hAnsi="GHEA Grapalat"/>
          <w:lang w:val="hy-AM"/>
        </w:rPr>
        <w:t>ագծի ընդունման դեպքում կսահմանվի</w:t>
      </w:r>
      <w:r w:rsidR="00A12EEC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առաջխաղացման դեպքում</w:t>
      </w:r>
      <w:r w:rsidR="000F5F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12EEC">
        <w:rPr>
          <w:rFonts w:ascii="GHEA Grapalat" w:hAnsi="GHEA Grapalat"/>
          <w:color w:val="000000"/>
          <w:shd w:val="clear" w:color="auto" w:fill="FFFFFF"/>
          <w:lang w:val="hy-AM"/>
        </w:rPr>
        <w:t>քաղաքացի</w:t>
      </w:r>
      <w:r w:rsidR="00F43F3B">
        <w:rPr>
          <w:rFonts w:ascii="GHEA Grapalat" w:hAnsi="GHEA Grapalat"/>
          <w:color w:val="000000"/>
          <w:shd w:val="clear" w:color="auto" w:fill="FFFFFF"/>
          <w:lang w:val="hy-AM"/>
        </w:rPr>
        <w:t xml:space="preserve">ական ծառայողի հետ ժամկետային աշխատանքային պայմանագիր </w:t>
      </w:r>
      <w:r w:rsidR="000F5F2E">
        <w:rPr>
          <w:rFonts w:ascii="GHEA Grapalat" w:hAnsi="GHEA Grapalat"/>
          <w:color w:val="000000"/>
          <w:shd w:val="clear" w:color="auto" w:fill="FFFFFF"/>
          <w:lang w:val="hy-AM"/>
        </w:rPr>
        <w:t>կնքելու կարգը,</w:t>
      </w:r>
      <w:r w:rsidR="00CD1D82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պայմանագրի ձևը, կնքման ժամանակը</w:t>
      </w:r>
      <w:r w:rsidR="00A95034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F5F2E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որի արդյունքում </w:t>
      </w:r>
      <w:r w:rsidR="009D3C53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 մարմնին </w:t>
      </w:r>
      <w:r w:rsidR="00F43F3B">
        <w:rPr>
          <w:rFonts w:ascii="GHEA Grapalat" w:hAnsi="GHEA Grapalat"/>
          <w:color w:val="000000"/>
          <w:shd w:val="clear" w:color="auto" w:fill="FFFFFF"/>
          <w:lang w:val="hy-AM"/>
        </w:rPr>
        <w:t>հնարավորություն կտրվի</w:t>
      </w:r>
      <w:r w:rsidR="00AE1E30" w:rsidRPr="00AE1E3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E1E30">
        <w:rPr>
          <w:rFonts w:ascii="GHEA Grapalat" w:hAnsi="GHEA Grapalat"/>
          <w:color w:val="000000"/>
          <w:shd w:val="clear" w:color="auto" w:fill="FFFFFF"/>
          <w:lang w:val="hy-AM"/>
        </w:rPr>
        <w:t>առանց թափուր պաշտոնը զբաղեցնելու համար  հայտարարություն հրապարակելու</w:t>
      </w:r>
      <w:r w:rsidR="00AE1E30">
        <w:rPr>
          <w:rFonts w:ascii="GHEA Grapalat" w:hAnsi="GHEA Grapalat" w:cs="GHEA Mariam"/>
          <w:lang w:val="hy-AM"/>
        </w:rPr>
        <w:t>, առավել սեղմ ժամկետում՝</w:t>
      </w:r>
      <w:r w:rsidR="007D7DED" w:rsidRPr="007D7DED">
        <w:rPr>
          <w:rFonts w:ascii="GHEA Grapalat" w:hAnsi="GHEA Grapalat" w:cs="GHEA Mariam"/>
          <w:lang w:val="hy-AM"/>
        </w:rPr>
        <w:t xml:space="preserve"> </w:t>
      </w:r>
      <w:r w:rsidR="007D7DED">
        <w:rPr>
          <w:rFonts w:ascii="GHEA Grapalat" w:hAnsi="GHEA Grapalat" w:cs="GHEA Mariam"/>
          <w:lang w:val="hy-AM"/>
        </w:rPr>
        <w:t xml:space="preserve">քաղաքացիական ծառայության նախկին </w:t>
      </w:r>
      <w:r w:rsidR="00971601">
        <w:rPr>
          <w:rFonts w:ascii="GHEA Grapalat" w:hAnsi="GHEA Grapalat" w:cs="GHEA Mariam"/>
          <w:lang w:val="hy-AM"/>
        </w:rPr>
        <w:t xml:space="preserve">պաշտոնից </w:t>
      </w:r>
      <w:r w:rsidR="00971601" w:rsidRPr="00694FA8">
        <w:rPr>
          <w:rFonts w:ascii="GHEA Grapalat" w:hAnsi="GHEA Grapalat" w:cs="GHEA Mariam"/>
          <w:lang w:val="hy-AM"/>
        </w:rPr>
        <w:t>ազատման օրը</w:t>
      </w:r>
      <w:r w:rsidR="009D3C53">
        <w:rPr>
          <w:rFonts w:ascii="GHEA Grapalat" w:hAnsi="GHEA Grapalat" w:cs="GHEA Mariam"/>
          <w:lang w:val="hy-AM"/>
        </w:rPr>
        <w:t xml:space="preserve"> </w:t>
      </w:r>
      <w:r w:rsidR="009D3C53">
        <w:rPr>
          <w:rFonts w:ascii="GHEA Grapalat" w:hAnsi="GHEA Grapalat"/>
          <w:color w:val="000000"/>
          <w:shd w:val="clear" w:color="auto" w:fill="FFFFFF"/>
          <w:lang w:val="hy-AM"/>
        </w:rPr>
        <w:t>քաղաքացիական ծառայողի հետ</w:t>
      </w:r>
      <w:r w:rsidR="00971601" w:rsidRPr="00694FA8">
        <w:rPr>
          <w:rFonts w:ascii="GHEA Grapalat" w:hAnsi="GHEA Grapalat" w:cs="GHEA Mariam"/>
          <w:lang w:val="hy-AM"/>
        </w:rPr>
        <w:t xml:space="preserve"> </w:t>
      </w:r>
      <w:r w:rsidR="00971601">
        <w:rPr>
          <w:rFonts w:ascii="GHEA Grapalat" w:hAnsi="GHEA Grapalat" w:cs="GHEA Mariam"/>
          <w:lang w:val="hy-AM"/>
        </w:rPr>
        <w:t xml:space="preserve">կնքել </w:t>
      </w:r>
      <w:r w:rsidR="00971601" w:rsidRPr="00694FA8">
        <w:rPr>
          <w:rFonts w:ascii="GHEA Grapalat" w:hAnsi="GHEA Grapalat" w:cs="GHEA Mariam"/>
          <w:lang w:val="hy-AM"/>
        </w:rPr>
        <w:t>քաղաքացիական ծառայության նոր պաշտոնի համար ժամկետային աշխատանքային պայմանագիր</w:t>
      </w:r>
      <w:r w:rsidR="00AE1E30">
        <w:rPr>
          <w:rFonts w:ascii="GHEA Grapalat" w:hAnsi="GHEA Grapalat" w:cs="GHEA Mariam"/>
          <w:lang w:val="hy-AM"/>
        </w:rPr>
        <w:t>,</w:t>
      </w:r>
      <w:r w:rsidR="00CD1D82">
        <w:rPr>
          <w:rFonts w:ascii="GHEA Grapalat" w:hAnsi="GHEA Grapalat" w:cs="GHEA Mariam"/>
          <w:lang w:val="hy-AM"/>
        </w:rPr>
        <w:t xml:space="preserve"> ինչը</w:t>
      </w:r>
      <w:r w:rsidR="00971601">
        <w:rPr>
          <w:rFonts w:ascii="GHEA Grapalat" w:hAnsi="GHEA Grapalat" w:cs="GHEA Mariam"/>
          <w:lang w:val="hy-AM"/>
        </w:rPr>
        <w:t xml:space="preserve"> կապահովվի վերը նշված օրենքի արդյունավետ և լիարժեք կիրարկումը:</w:t>
      </w:r>
    </w:p>
    <w:p w:rsidR="00BB2367" w:rsidRDefault="00BB2367" w:rsidP="00BB2367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BB2367" w:rsidRDefault="00BB2367" w:rsidP="00135C84">
      <w:p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64672B" w:rsidRDefault="0064672B" w:rsidP="00135C84">
      <w:p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64672B" w:rsidRDefault="0064672B" w:rsidP="00135C84">
      <w:p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64672B" w:rsidRDefault="0064672B" w:rsidP="00135C84">
      <w:p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bookmarkStart w:id="0" w:name="_GoBack"/>
      <w:bookmarkEnd w:id="0"/>
    </w:p>
    <w:p w:rsidR="0064672B" w:rsidRDefault="0064672B" w:rsidP="0064672B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ՏԵՂԵԿԱՆՔ</w:t>
      </w:r>
    </w:p>
    <w:p w:rsidR="0064672B" w:rsidRDefault="0064672B" w:rsidP="0064672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«ՀԱՅԱՍՏԱՆԻ ՀԱՆՐԱՊԵՏՈՒԹՅԱՆ ԿԱՌԱՎԱՐՈՒԹՅԱՆ 2018 ԹՎԱԿԱՆԻ  ՀՈՒԼԻՍԻ 10-Ի N 792-Ն ՈՐՈՇՄԱՆ ՄԵՋ ԼՐԱՑՈՒՄ ԿԱՏԱՐԵԼՈՒ ՄԱՍԻՆ» ՀԱՅԱՍՏԱՆԻ ՀԱՆՐԱՊԵՏՈՒԹՅԱՆ ԿԱՌԱՎԱՐՈՒԹՅԱՆ ՈՐՈՇՄԱՆ</w:t>
      </w:r>
    </w:p>
    <w:p w:rsidR="0064672B" w:rsidRDefault="0064672B" w:rsidP="0064672B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ԸՆԴՈՒՆՄԱՆ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</w:p>
    <w:p w:rsidR="0064672B" w:rsidRDefault="0064672B" w:rsidP="0064672B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լրացում կատարելու 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 կառավարության որոշման ընդունման կապակցությամբ Հայաստանի Հանրապետության այլ իրավական ակտեր ընդունելու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անհրաժեշտություն չկա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4672B" w:rsidRDefault="0064672B" w:rsidP="0064672B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4672B" w:rsidRDefault="0064672B" w:rsidP="0064672B">
      <w:pPr>
        <w:spacing w:after="20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64672B" w:rsidRDefault="0064672B" w:rsidP="0064672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«ՀԱՅԱՍՏԱՆԻ ՀԱՆՐԱՊԵՏՈՒԹՅԱՆ ԿԱՌԱՎԱՐՈՒԹՅԱՆ 2018 ԹՎԱԿԱՆԻ  ՀՈՒԼԻՍԻ 10-Ի N 792-Ն ՈՐՈՇՄԱՆ ՄԵՋ ԼՐԱՑՈՒՄ ԿԱՏԱՐԵԼՈՒ ՄԱՍԻՆ» ՀԱՅԱՍՏԱՆԻ ՀԱՆՐԱՊԵՏՈՒԹՅԱՆ ԿԱՌԱՎԱՐՈՒԹՅԱՆ ՈՐՈՇՄԱՆ</w:t>
      </w:r>
    </w:p>
    <w:p w:rsidR="0064672B" w:rsidRDefault="0064672B" w:rsidP="0064672B">
      <w:pPr>
        <w:spacing w:after="20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ԸՆԴՈՒՆՄԱՆ ԴԵՊՔՈՒՄ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ՊԵՏԱԿԱՆ ԲՅՈՒՋԵՈՒՄ ԿԱՄ ՏԵՂԱԿԱՆ ԻՆՔՆԱԿԱՌԱՎԱՐՄԱՆ ՄԱՐՄԻՆՆԵՐԻ ԲՅՈՒՋԵՆԵՐՈՒՄ ԾԱԽՍԵՐԻ ԵՎ ԵԿԱՄՈՒՏՆԵՐԻ ԱՎԵԼԱՑՈՒՄՆԵՐԻ ԿԱՄ ՆՎԱԶԵՑՈՒՄՆԵՐԻ ՄԱՍԻՆ</w:t>
      </w:r>
    </w:p>
    <w:p w:rsidR="0064672B" w:rsidRDefault="0064672B" w:rsidP="0064672B">
      <w:pPr>
        <w:spacing w:after="20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64672B" w:rsidRDefault="0064672B" w:rsidP="0064672B">
      <w:pPr>
        <w:spacing w:after="20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կառավարության 2018 թվականի հուլիսի 10-ի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լրացում կատարելու 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>
        <w:rPr>
          <w:rFonts w:ascii="GHEA Grapalat" w:hAnsi="GHEA Grapalat"/>
          <w:sz w:val="24"/>
          <w:szCs w:val="24"/>
          <w:lang w:val="hy-AM"/>
        </w:rPr>
        <w:t>որոշման նախագծի ընդունման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դեպքում</w:t>
      </w:r>
      <w:r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64672B" w:rsidRDefault="0064672B" w:rsidP="0064672B">
      <w:pPr>
        <w:spacing w:line="360" w:lineRule="auto"/>
        <w:rPr>
          <w:lang w:val="fr-FR"/>
        </w:rPr>
      </w:pPr>
    </w:p>
    <w:p w:rsidR="0064672B" w:rsidRPr="0064672B" w:rsidRDefault="0064672B" w:rsidP="00135C84">
      <w:p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fr-FR" w:eastAsia="x-none"/>
        </w:rPr>
      </w:pPr>
    </w:p>
    <w:sectPr w:rsidR="0064672B" w:rsidRPr="0064672B" w:rsidSect="00F3398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108B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67"/>
    <w:rsid w:val="000F5F2E"/>
    <w:rsid w:val="00135C84"/>
    <w:rsid w:val="001505E6"/>
    <w:rsid w:val="001E7741"/>
    <w:rsid w:val="002D2987"/>
    <w:rsid w:val="003172D3"/>
    <w:rsid w:val="00436DBE"/>
    <w:rsid w:val="00513009"/>
    <w:rsid w:val="005778F5"/>
    <w:rsid w:val="0064672B"/>
    <w:rsid w:val="006A6644"/>
    <w:rsid w:val="006F13AA"/>
    <w:rsid w:val="007D7DED"/>
    <w:rsid w:val="00855CF5"/>
    <w:rsid w:val="008C6FB5"/>
    <w:rsid w:val="00907EBE"/>
    <w:rsid w:val="0094789F"/>
    <w:rsid w:val="00971601"/>
    <w:rsid w:val="009D3C53"/>
    <w:rsid w:val="009D467B"/>
    <w:rsid w:val="00A12EEC"/>
    <w:rsid w:val="00A95034"/>
    <w:rsid w:val="00AE1E30"/>
    <w:rsid w:val="00BB2367"/>
    <w:rsid w:val="00CD1D82"/>
    <w:rsid w:val="00EB7408"/>
    <w:rsid w:val="00ED7FB8"/>
    <w:rsid w:val="00F43F3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7739"/>
  <w15:chartTrackingRefBased/>
  <w15:docId w15:val="{B20695BB-2124-4372-B714-9ED79E33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3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https://mul2.gov.am/tasks/14702/oneclick/himnavorum.docx?token=17725eef15b847b562c17215a2f973b9</cp:keywords>
  <dc:description/>
  <cp:lastModifiedBy>Anush</cp:lastModifiedBy>
  <cp:revision>4</cp:revision>
  <cp:lastPrinted>2018-12-04T10:18:00Z</cp:lastPrinted>
  <dcterms:created xsi:type="dcterms:W3CDTF">2018-12-04T10:33:00Z</dcterms:created>
  <dcterms:modified xsi:type="dcterms:W3CDTF">2019-01-24T06:45:00Z</dcterms:modified>
</cp:coreProperties>
</file>