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63" w:rsidRPr="00AB6AA3" w:rsidRDefault="00697863" w:rsidP="00AB6AA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AB6AA3">
        <w:rPr>
          <w:rFonts w:ascii="GHEA Grapalat" w:hAnsi="GHEA Grapalat" w:cs="Sylfaen"/>
          <w:b/>
          <w:caps/>
          <w:sz w:val="22"/>
          <w:szCs w:val="22"/>
        </w:rPr>
        <w:t>Ա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Մ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Փ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Ո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Փ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Ա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Թ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Ե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Ր</w:t>
      </w:r>
      <w:r w:rsidRPr="00AB6AA3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B6AA3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AB6AA3" w:rsidRPr="00AB6AA3" w:rsidRDefault="00AB6AA3" w:rsidP="00AB6AA3">
      <w:pPr>
        <w:jc w:val="center"/>
        <w:outlineLvl w:val="2"/>
        <w:rPr>
          <w:rFonts w:ascii="GHEA Grapalat" w:hAnsi="GHEA Grapalat"/>
          <w:b/>
          <w:bCs/>
          <w:sz w:val="22"/>
          <w:szCs w:val="22"/>
          <w:lang w:val="de-DE"/>
        </w:rPr>
      </w:pPr>
      <w:r w:rsidRPr="00AB6AA3">
        <w:rPr>
          <w:rFonts w:ascii="GHEA Grapalat" w:hAnsi="GHEA Grapalat"/>
          <w:b/>
          <w:sz w:val="22"/>
          <w:szCs w:val="22"/>
          <w:lang w:val="de-DE"/>
        </w:rPr>
        <w:t>«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ՀԱՅԱՍՏԱՆԻ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ՔԱՂԱՔԱՑԻԱԿԱՆ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ԴԱՏԱՎԱՐՈՒԹՅԱՆ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ՕՐԵՆՍԳՐՔՈՒՄ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ՓՈՓՈԽՈՒԹՅՈՒՆ</w:t>
      </w:r>
      <w:r w:rsidRPr="00AB6AA3">
        <w:rPr>
          <w:rFonts w:ascii="GHEA Grapalat" w:hAnsi="GHEA Grapalat"/>
          <w:b/>
          <w:sz w:val="22"/>
          <w:szCs w:val="22"/>
          <w:lang w:val="en-US"/>
        </w:rPr>
        <w:t>ՆԵՐ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ԵՎ ԼՐԱՑՈՒՄ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ԿԱՏԱՐԵԼՈՒ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AB6AA3">
        <w:rPr>
          <w:rFonts w:ascii="GHEA Grapalat" w:hAnsi="GHEA Grapalat"/>
          <w:b/>
          <w:sz w:val="22"/>
          <w:szCs w:val="22"/>
          <w:lang w:val="de-DE"/>
        </w:rPr>
        <w:t>» ԵՎ «</w:t>
      </w:r>
      <w:r w:rsidRPr="00AB6AA3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AB6AA3">
        <w:rPr>
          <w:rFonts w:ascii="GHEA Grapalat" w:hAnsi="GHEA Grapalat"/>
          <w:b/>
          <w:bCs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AB6AA3">
        <w:rPr>
          <w:rFonts w:ascii="GHEA Grapalat" w:hAnsi="GHEA Grapalat"/>
          <w:b/>
          <w:bCs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 w:cs="Sylfaen"/>
          <w:b/>
          <w:bCs/>
          <w:sz w:val="22"/>
          <w:szCs w:val="22"/>
          <w:lang w:val="hy-AM"/>
        </w:rPr>
        <w:t>ՔՐԵԱԿԱՏԱՐՈՂԱԿԱՆ</w:t>
      </w:r>
      <w:r w:rsidRPr="00AB6AA3">
        <w:rPr>
          <w:rFonts w:ascii="GHEA Grapalat" w:hAnsi="GHEA Grapalat"/>
          <w:b/>
          <w:bCs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 w:cs="Sylfaen"/>
          <w:b/>
          <w:bCs/>
          <w:sz w:val="22"/>
          <w:szCs w:val="22"/>
          <w:lang w:val="hy-AM"/>
        </w:rPr>
        <w:t>ՕՐԵՆՍԳՐՔՈՒՄ</w:t>
      </w:r>
    </w:p>
    <w:p w:rsidR="00697863" w:rsidRPr="00AB6AA3" w:rsidRDefault="00AB6AA3" w:rsidP="00AB6AA3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AB6AA3">
        <w:rPr>
          <w:rFonts w:ascii="GHEA Grapalat" w:hAnsi="GHEA Grapalat" w:cs="Sylfaen"/>
          <w:b/>
          <w:bCs/>
          <w:sz w:val="22"/>
          <w:szCs w:val="22"/>
        </w:rPr>
        <w:t>ԼՐԱՑՈՒՄ</w:t>
      </w:r>
      <w:r w:rsidRPr="00AB6AA3">
        <w:rPr>
          <w:rFonts w:ascii="GHEA Grapalat" w:hAnsi="GHEA Grapalat"/>
          <w:b/>
          <w:bCs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AB6AA3">
        <w:rPr>
          <w:rFonts w:ascii="GHEA Grapalat" w:hAnsi="GHEA Grapalat"/>
          <w:b/>
          <w:bCs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 w:cs="Sylfaen"/>
          <w:b/>
          <w:bCs/>
          <w:sz w:val="22"/>
          <w:szCs w:val="22"/>
        </w:rPr>
        <w:t>ՄԱՍԻՆ</w:t>
      </w:r>
      <w:r w:rsidRPr="00AB6AA3">
        <w:rPr>
          <w:rFonts w:ascii="GHEA Grapalat" w:hAnsi="GHEA Grapalat" w:cs="Sylfaen"/>
          <w:b/>
          <w:bCs/>
          <w:sz w:val="22"/>
          <w:szCs w:val="22"/>
          <w:lang w:val="de-DE"/>
        </w:rPr>
        <w:t>»</w:t>
      </w:r>
      <w:r w:rsidRPr="00AB6AA3">
        <w:rPr>
          <w:rFonts w:ascii="GHEA Grapalat" w:hAnsi="GHEA Grapalat"/>
          <w:b/>
          <w:sz w:val="22"/>
          <w:szCs w:val="22"/>
          <w:lang w:val="hy-AM"/>
        </w:rPr>
        <w:t xml:space="preserve"> ՀԱՅԱՍՏԱՆԻ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 w:rsidRPr="00AB6AA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Pr="00AB6AA3">
        <w:rPr>
          <w:rFonts w:ascii="GHEA Grapalat" w:hAnsi="GHEA Grapalat"/>
          <w:b/>
          <w:sz w:val="22"/>
          <w:szCs w:val="22"/>
          <w:lang w:val="hy-AM"/>
        </w:rPr>
        <w:t>ՕՐԵՆՔ</w:t>
      </w:r>
      <w:r w:rsidRPr="00AB6AA3">
        <w:rPr>
          <w:rFonts w:ascii="GHEA Grapalat" w:hAnsi="GHEA Grapalat"/>
          <w:b/>
          <w:sz w:val="22"/>
          <w:szCs w:val="22"/>
        </w:rPr>
        <w:t>ՆԵՐԻ</w:t>
      </w:r>
      <w:r w:rsidR="00697863" w:rsidRPr="00AB6AA3">
        <w:rPr>
          <w:rFonts w:ascii="GHEA Grapalat" w:hAnsi="GHEA Grapalat" w:cs="Arial LatArm"/>
          <w:b/>
          <w:caps/>
          <w:sz w:val="22"/>
          <w:szCs w:val="22"/>
          <w:lang w:val="af-ZA"/>
        </w:rPr>
        <w:t xml:space="preserve"> </w:t>
      </w:r>
      <w:r w:rsidR="00705958" w:rsidRPr="00AB6AA3">
        <w:rPr>
          <w:rFonts w:ascii="GHEA Grapalat" w:hAnsi="GHEA Grapalat" w:cs="Arial LatArm"/>
          <w:b/>
          <w:caps/>
          <w:sz w:val="22"/>
          <w:szCs w:val="22"/>
          <w:lang w:val="af-ZA"/>
        </w:rPr>
        <w:t>ՆԱԽԱԳԾ</w:t>
      </w:r>
      <w:r w:rsidRPr="00AB6AA3">
        <w:rPr>
          <w:rFonts w:ascii="GHEA Grapalat" w:hAnsi="GHEA Grapalat" w:cs="Arial LatArm"/>
          <w:b/>
          <w:caps/>
          <w:sz w:val="22"/>
          <w:szCs w:val="22"/>
          <w:lang w:val="af-ZA"/>
        </w:rPr>
        <w:t>ԵՐ</w:t>
      </w:r>
      <w:r w:rsidR="00705958" w:rsidRPr="00AB6AA3">
        <w:rPr>
          <w:rFonts w:ascii="GHEA Grapalat" w:hAnsi="GHEA Grapalat" w:cs="Arial LatArm"/>
          <w:b/>
          <w:caps/>
          <w:sz w:val="22"/>
          <w:szCs w:val="22"/>
          <w:lang w:val="af-ZA"/>
        </w:rPr>
        <w:t>Ի</w:t>
      </w:r>
      <w:r w:rsidR="00697863" w:rsidRPr="00AB6AA3">
        <w:rPr>
          <w:rFonts w:ascii="GHEA Grapalat" w:hAnsi="GHEA Grapalat" w:cs="Arial LatArm"/>
          <w:b/>
          <w:caps/>
          <w:sz w:val="22"/>
          <w:szCs w:val="22"/>
          <w:lang w:val="af-ZA"/>
        </w:rPr>
        <w:t xml:space="preserve"> </w:t>
      </w:r>
      <w:r w:rsidR="00697863" w:rsidRPr="00AB6AA3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="00697863" w:rsidRPr="00AB6AA3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53"/>
        <w:gridCol w:w="5578"/>
        <w:gridCol w:w="2102"/>
        <w:gridCol w:w="5218"/>
      </w:tblGrid>
      <w:tr w:rsidR="00697863" w:rsidRPr="00AB6AA3" w:rsidTr="0039342B">
        <w:trPr>
          <w:trHeight w:val="1130"/>
        </w:trPr>
        <w:tc>
          <w:tcPr>
            <w:tcW w:w="2453" w:type="dxa"/>
          </w:tcPr>
          <w:p w:rsidR="00697863" w:rsidRPr="00AB6AA3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</w:t>
            </w:r>
          </w:p>
          <w:p w:rsidR="00697863" w:rsidRPr="00AB6AA3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հեղինակը</w:t>
            </w:r>
          </w:p>
          <w:p w:rsidR="00697863" w:rsidRPr="00AB6AA3" w:rsidRDefault="00697863" w:rsidP="00044B4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97863" w:rsidRPr="00AB6AA3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Առարկության, առաջարկության</w:t>
            </w:r>
          </w:p>
          <w:p w:rsidR="00697863" w:rsidRPr="00AB6AA3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02" w:type="dxa"/>
          </w:tcPr>
          <w:p w:rsidR="00697863" w:rsidRPr="00AB6AA3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218" w:type="dxa"/>
          </w:tcPr>
          <w:p w:rsidR="00697863" w:rsidRPr="00AB6AA3" w:rsidRDefault="00697863" w:rsidP="00044B4C">
            <w:pPr>
              <w:spacing w:line="360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697863" w:rsidRPr="00AB6AA3" w:rsidTr="00044B4C">
        <w:tc>
          <w:tcPr>
            <w:tcW w:w="2453" w:type="dxa"/>
          </w:tcPr>
          <w:p w:rsidR="00697863" w:rsidRPr="00AB6AA3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578" w:type="dxa"/>
          </w:tcPr>
          <w:p w:rsidR="00697863" w:rsidRPr="00AB6AA3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02" w:type="dxa"/>
          </w:tcPr>
          <w:p w:rsidR="00697863" w:rsidRPr="00AB6AA3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218" w:type="dxa"/>
          </w:tcPr>
          <w:p w:rsidR="00697863" w:rsidRPr="00AB6AA3" w:rsidRDefault="00697863" w:rsidP="00044B4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697863" w:rsidRPr="001122DC" w:rsidTr="00044B4C">
        <w:trPr>
          <w:trHeight w:val="1243"/>
        </w:trPr>
        <w:tc>
          <w:tcPr>
            <w:tcW w:w="2453" w:type="dxa"/>
          </w:tcPr>
          <w:p w:rsidR="00697863" w:rsidRPr="00AB6AA3" w:rsidRDefault="00697863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="00BA1325" w:rsidRPr="00AB6AA3"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կառավարության աշխատակազմի իրավաբանական վարչություն</w:t>
            </w:r>
          </w:p>
          <w:p w:rsidR="00697863" w:rsidRPr="00AB6AA3" w:rsidRDefault="00697863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 w:rsidRPr="00AB6AA3">
              <w:rPr>
                <w:rFonts w:ascii="GHEA Grapalat" w:hAnsi="GHEA Grapalat"/>
                <w:lang w:val="af-ZA"/>
              </w:rPr>
              <w:t xml:space="preserve">Համաձայն </w:t>
            </w:r>
            <w:r w:rsidR="00697863" w:rsidRPr="00AB6AA3">
              <w:rPr>
                <w:rFonts w:ascii="GHEA Grapalat" w:hAnsi="GHEA Grapalat"/>
                <w:lang w:val="af-ZA"/>
              </w:rPr>
              <w:t>«</w:t>
            </w:r>
            <w:r w:rsidR="00697863" w:rsidRPr="00AB6AA3">
              <w:rPr>
                <w:rFonts w:ascii="GHEA Grapalat" w:hAnsi="GHEA Grapalat"/>
              </w:rPr>
              <w:t>Հայաստանի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Հանրապետության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քաղաքացիական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դատավարության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օրենսգրքում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փոփոխություն</w:t>
            </w:r>
            <w:r w:rsidR="00671BAD" w:rsidRPr="00AB6AA3">
              <w:rPr>
                <w:rFonts w:ascii="GHEA Grapalat" w:hAnsi="GHEA Grapalat"/>
                <w:lang w:val="en-US"/>
              </w:rPr>
              <w:t>ներ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lang w:val="en-US"/>
              </w:rPr>
              <w:t>և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լրացում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կատարելու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մասին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» </w:t>
            </w:r>
            <w:r w:rsidR="00697863" w:rsidRPr="00AB6AA3">
              <w:rPr>
                <w:rFonts w:ascii="GHEA Grapalat" w:hAnsi="GHEA Grapalat"/>
              </w:rPr>
              <w:t>ՀՀ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օրենքի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նախագծի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(</w:t>
            </w:r>
            <w:r w:rsidR="00697863" w:rsidRPr="00AB6AA3">
              <w:rPr>
                <w:rFonts w:ascii="GHEA Grapalat" w:hAnsi="GHEA Grapalat"/>
              </w:rPr>
              <w:t>այսուհետ</w:t>
            </w:r>
            <w:r w:rsidR="00697863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97863" w:rsidRPr="00AB6AA3">
              <w:rPr>
                <w:rFonts w:ascii="GHEA Grapalat" w:hAnsi="GHEA Grapalat"/>
              </w:rPr>
              <w:t>Նախագիծ</w:t>
            </w:r>
            <w:r w:rsidR="00697863" w:rsidRPr="00AB6AA3">
              <w:rPr>
                <w:rFonts w:ascii="GHEA Grapalat" w:hAnsi="GHEA Grapalat"/>
                <w:lang w:val="af-ZA"/>
              </w:rPr>
              <w:t>)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1-</w:t>
            </w:r>
            <w:r w:rsidR="00671BAD" w:rsidRPr="00AB6AA3">
              <w:rPr>
                <w:rFonts w:ascii="GHEA Grapalat" w:hAnsi="GHEA Grapalat"/>
                <w:color w:val="000000"/>
              </w:rPr>
              <w:t>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փոփոխվող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112-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նիստերի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դահլիճից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դուրս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անցկացվող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հանդիսանում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արտագնա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սակայն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պարզ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չէ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թե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մեկ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դատարանի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կողմից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մեկ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այլ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դատարանի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դահլաճում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անցկացվող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արդյոք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հանդիսանում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արտագնա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:</w:t>
            </w:r>
          </w:p>
          <w:p w:rsidR="00671BAD" w:rsidRPr="00AB6AA3" w:rsidRDefault="00671BAD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</w:p>
          <w:p w:rsidR="00697863" w:rsidRPr="00AB6AA3" w:rsidRDefault="00117062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 w:cs="Arial LatArm"/>
                <w:lang w:val="af-ZA"/>
              </w:rPr>
            </w:pPr>
            <w:r w:rsidRPr="00AB6AA3">
              <w:rPr>
                <w:rFonts w:ascii="GHEA Grapalat" w:hAnsi="GHEA Grapalat" w:cs="Arial LatArm"/>
                <w:lang w:val="af-ZA"/>
              </w:rPr>
              <w:tab/>
            </w:r>
          </w:p>
        </w:tc>
        <w:tc>
          <w:tcPr>
            <w:tcW w:w="2102" w:type="dxa"/>
          </w:tcPr>
          <w:p w:rsidR="00697863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Չի ընդունվել</w:t>
            </w:r>
          </w:p>
        </w:tc>
        <w:tc>
          <w:tcPr>
            <w:tcW w:w="5218" w:type="dxa"/>
          </w:tcPr>
          <w:p w:rsidR="00697863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Անհասկանալի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թե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ինչպես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մեկ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դատարանը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կարող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այլ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դատարանի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նիստ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երի</w:t>
            </w: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դահլիճում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Եթե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առաջարկությունը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այն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դեպքին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երբ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անցկացվում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մեկ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այլ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դատարանի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դահլիճում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տեղազննություն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համար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ապա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միանշանակ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արտագնա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lang w:val="af-ZA"/>
              </w:rPr>
            </w:pPr>
            <w:r w:rsidRPr="00AB6AA3">
              <w:rPr>
                <w:rFonts w:ascii="GHEA Grapalat" w:hAnsi="GHEA Grapalat"/>
                <w:color w:val="000000"/>
                <w:lang w:val="af-ZA"/>
              </w:rPr>
              <w:t xml:space="preserve">2. </w:t>
            </w:r>
            <w:r w:rsidR="00671BAD" w:rsidRPr="00AB6AA3">
              <w:rPr>
                <w:rFonts w:ascii="GHEA Grapalat" w:hAnsi="GHEA Grapalat"/>
                <w:color w:val="000000"/>
              </w:rPr>
              <w:t>Նույն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112.1-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3-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առաջարկում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հանել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քանի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որ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համապատասխան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հարաբերությունները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արդեն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իսկ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կարգավորված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  <w:color w:val="000000"/>
              </w:rPr>
              <w:t>Այսպես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համաձայն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178-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համաձայն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մասնակցող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անձինք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ծանուցագրերով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տեղեկացվում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lastRenderedPageBreak/>
              <w:t>են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առանձին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դատավարական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գործողություններ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կատարելու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ժամանակի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վայրի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իսկ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118-</w:t>
            </w:r>
            <w:r w:rsidR="00671BAD" w:rsidRPr="00AB6AA3">
              <w:rPr>
                <w:rFonts w:ascii="GHEA Grapalat" w:hAnsi="GHEA Grapalat"/>
              </w:rPr>
              <w:t>րդ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հոդվածը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կարգավրում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ժամանակի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վայրի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պատշաճ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ձևով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տեղեկացված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պատասխանողի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հայցվորի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չներկայանալու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հետևանքները</w:t>
            </w:r>
            <w:r w:rsidR="00671BAD" w:rsidRPr="00AB6AA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2.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Ընդունվել</w:t>
            </w: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Նախագծից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հանվել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112.1-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րդ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րդ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մասը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AB6AA3">
              <w:rPr>
                <w:rFonts w:ascii="GHEA Grapalat" w:hAnsi="GHEA Grapalat"/>
                <w:lang w:val="af-ZA"/>
              </w:rPr>
              <w:t xml:space="preserve">3. </w:t>
            </w:r>
            <w:r w:rsidR="00671BAD" w:rsidRPr="00AB6AA3">
              <w:rPr>
                <w:rFonts w:ascii="GHEA Grapalat" w:hAnsi="GHEA Grapalat"/>
              </w:rPr>
              <w:t>Նույն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հոդվածի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2-</w:t>
            </w:r>
            <w:r w:rsidR="00671BAD" w:rsidRPr="00AB6AA3">
              <w:rPr>
                <w:rFonts w:ascii="GHEA Grapalat" w:hAnsi="GHEA Grapalat"/>
              </w:rPr>
              <w:t>րդ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սահմանում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որ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արտագնա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անցկացնելու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որոշմամբ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սահմանվում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արտագնա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հետազոտման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ենթակա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ապացույցները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մինչդեռ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112-</w:t>
            </w:r>
            <w:r w:rsidR="00671BAD" w:rsidRPr="00AB6AA3">
              <w:rPr>
                <w:rFonts w:ascii="GHEA Grapalat" w:hAnsi="GHEA Grapalat"/>
              </w:rPr>
              <w:t>րդ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հոդվածը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սահմանումից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կարելի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եզրակացնել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որ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արտագնա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կարող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անցկացվել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ոչ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միայն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ապացույցների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հետազոտման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նպատակով</w:t>
            </w:r>
            <w:r w:rsidR="00671BAD" w:rsidRPr="00AB6AA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3.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Ընդունվել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մասնակիորեն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Նշված 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րդ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մասը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շարադրվել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հետևյալ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խմբագրությամբ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.&lt;&lt;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Արտագնա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անցկացնելու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մասին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որոշումը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կայացվում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առանձին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ակտի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ձևով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որում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սահմանվում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են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արտագնա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անցկացնելու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վայրը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ժամանակը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արտագնա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անցկացնելու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հիմք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հանդիսացած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հանգամանքները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արտագնա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հետազոտման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առարկան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&gt;&gt;:</w:t>
            </w:r>
          </w:p>
        </w:tc>
      </w:tr>
      <w:tr w:rsidR="00671BAD" w:rsidRPr="00AB6AA3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lang w:val="af-ZA"/>
              </w:rPr>
            </w:pPr>
            <w:r w:rsidRPr="00AB6AA3">
              <w:rPr>
                <w:rFonts w:ascii="GHEA Grapalat" w:hAnsi="GHEA Grapalat"/>
                <w:lang w:val="af-ZA"/>
              </w:rPr>
              <w:t xml:space="preserve">4. </w:t>
            </w:r>
            <w:r w:rsidR="00671BAD" w:rsidRPr="00AB6AA3">
              <w:rPr>
                <w:rFonts w:ascii="GHEA Grapalat" w:hAnsi="GHEA Grapalat"/>
              </w:rPr>
              <w:t>Միաժամանակ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նախագծի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հիմնավորումը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չի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համապատասխանում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տեքստին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</w:rPr>
              <w:t>Այսպես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ըստ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հիմնավորման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lang w:val="de-DE"/>
              </w:rPr>
              <w:t xml:space="preserve">առաջարկվում է քաղաքացիական դատավարությունում որպես արտագնա դատական նիստի անցկացման հիմք սահմանել դատական նիստերի դահլիճում </w:t>
            </w:r>
            <w:r w:rsidR="00671BAD" w:rsidRPr="00AB6AA3">
              <w:rPr>
                <w:rFonts w:ascii="GHEA Grapalat" w:hAnsi="GHEA Grapalat"/>
                <w:lang w:val="hy-AM"/>
              </w:rPr>
              <w:t xml:space="preserve">ապացույցի հետազոտումը </w:t>
            </w:r>
            <w:r w:rsidR="00671BAD" w:rsidRPr="00AB6AA3">
              <w:rPr>
                <w:rFonts w:ascii="GHEA Grapalat" w:hAnsi="GHEA Grapalat"/>
              </w:rPr>
              <w:t>կատարելու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անհնարինությունը</w:t>
            </w:r>
            <w:r w:rsidR="00671BAD" w:rsidRPr="00AB6AA3">
              <w:rPr>
                <w:rFonts w:ascii="GHEA Grapalat" w:hAnsi="GHEA Grapalat"/>
                <w:lang w:val="de-DE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կամ</w:t>
            </w:r>
            <w:r w:rsidR="00671BAD" w:rsidRPr="00AB6AA3">
              <w:rPr>
                <w:rFonts w:ascii="GHEA Grapalat" w:hAnsi="GHEA Grapalat"/>
                <w:lang w:val="de-DE"/>
              </w:rPr>
              <w:t xml:space="preserve"> </w:t>
            </w:r>
            <w:r w:rsidR="00671BAD" w:rsidRPr="00AB6AA3">
              <w:rPr>
                <w:rFonts w:ascii="GHEA Grapalat" w:hAnsi="GHEA Grapalat"/>
                <w:lang w:val="hy-AM"/>
              </w:rPr>
              <w:t>գործով ապացույցների հետազոտ</w:t>
            </w:r>
            <w:r w:rsidR="00671BAD" w:rsidRPr="00AB6AA3">
              <w:rPr>
                <w:rFonts w:ascii="GHEA Grapalat" w:hAnsi="GHEA Grapalat"/>
              </w:rPr>
              <w:t>ման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դժվարությունների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առաջացման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հանգամանքը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մինչդեռ ըստ նախագծի </w:t>
            </w:r>
            <w:r w:rsidR="00671BAD" w:rsidRPr="00AB6AA3">
              <w:rPr>
                <w:rFonts w:ascii="GHEA Grapalat" w:hAnsi="GHEA Grapalat"/>
              </w:rPr>
              <w:t>դատարանի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որոշմամբ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կարող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անցկացվել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արտագնա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եթե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բխում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արդարադատության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արդյունավետության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շահերից</w:t>
            </w:r>
            <w:r w:rsidR="00671BAD" w:rsidRPr="00AB6AA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4.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Ընդունվել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կատարվել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են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5. 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&lt;&lt;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քրեակատարողական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կատարելու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&gt;&gt;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նախագծում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առաջարկում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նաև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հստակեցնել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թե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վերաբերվում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արդյոք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միայն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lastRenderedPageBreak/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շրջանակներում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գործերի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քննությանը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թե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ոչ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5. Ընդունելի է: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 Անհրաժեշտ է նկատի ունենալ, որ հ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ամապատասխան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փոփոխություններ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արդեն իսկ նախատեսվել են 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են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նաև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դատավարության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նոր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օրենսգրքում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ինչպես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նաև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վարչական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դատավարության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օրենսգիրքը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նոր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խմբագրությամբ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շարադրելու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AB6AA3">
              <w:rPr>
                <w:rFonts w:ascii="GHEA Grapalat" w:hAnsi="GHEA Grapalat"/>
                <w:color w:val="000000"/>
                <w:lang w:val="af-ZA"/>
              </w:rPr>
              <w:t xml:space="preserve">6. </w:t>
            </w:r>
            <w:r w:rsidR="00671BAD" w:rsidRPr="00AB6AA3">
              <w:rPr>
                <w:rFonts w:ascii="GHEA Grapalat" w:hAnsi="GHEA Grapalat"/>
                <w:color w:val="000000"/>
              </w:rPr>
              <w:t>Հիշյալ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 w:rsidR="00671BAD" w:rsidRPr="00AB6AA3">
              <w:rPr>
                <w:rFonts w:ascii="GHEA Grapalat" w:hAnsi="GHEA Grapalat"/>
                <w:color w:val="000000"/>
              </w:rPr>
              <w:t>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132.1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 w:rsidR="00671BAD" w:rsidRPr="00AB6AA3">
              <w:rPr>
                <w:rFonts w:ascii="GHEA Grapalat" w:hAnsi="GHEA Grapalat"/>
                <w:color w:val="000000"/>
              </w:rPr>
              <w:t>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կարգավորում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&lt;&lt;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փոփոխություններ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և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կատարելու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&gt;&gt;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112.1-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կարգավորվող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հարաբերությունները՝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lang w:val="hy-AM"/>
              </w:rPr>
              <w:t>արտագնա դատական նիստ անցկացնելու մասին դատարան</w:t>
            </w:r>
            <w:r w:rsidR="00671BAD" w:rsidRPr="00AB6AA3">
              <w:rPr>
                <w:rFonts w:ascii="GHEA Grapalat" w:hAnsi="GHEA Grapalat"/>
              </w:rPr>
              <w:t>ի</w:t>
            </w:r>
            <w:r w:rsidR="00671BAD" w:rsidRPr="00AB6AA3">
              <w:rPr>
                <w:rFonts w:ascii="GHEA Grapalat" w:hAnsi="GHEA Grapalat"/>
                <w:lang w:val="hy-AM"/>
              </w:rPr>
              <w:t xml:space="preserve"> առանձին ակտի ձևով կայաց</w:t>
            </w:r>
            <w:r w:rsidR="00671BAD" w:rsidRPr="00AB6AA3">
              <w:rPr>
                <w:rFonts w:ascii="GHEA Grapalat" w:hAnsi="GHEA Grapalat"/>
              </w:rPr>
              <w:t>վող</w:t>
            </w:r>
            <w:r w:rsidR="00671BAD" w:rsidRPr="00AB6AA3">
              <w:rPr>
                <w:rFonts w:ascii="GHEA Grapalat" w:hAnsi="GHEA Grapalat"/>
                <w:lang w:val="hy-AM"/>
              </w:rPr>
              <w:t xml:space="preserve"> որոշում, որում սահմանվում են արտագնա դատական նիստ անցկացնելու ժամանակը, վայրը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իսկ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դռնփակ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անցկացնելու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դատարանը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պետք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որոշում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կայացնի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8-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3-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համաձայն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  <w:color w:val="000000"/>
              </w:rPr>
              <w:t>Միաժամանակ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առաջարկում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պատճառաբանման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անհրաժեշտության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դրույթը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փոխադրել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&lt;&lt;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փոփոխություններ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և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կատարելու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&gt;&gt;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նախագիծ՝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սահմանելով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որպես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ընդհանուր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պահանջ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  <w:color w:val="000000"/>
              </w:rPr>
              <w:t>Այս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կապակցությամբ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առաջարկում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ենք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132.1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 w:rsidR="00671BAD" w:rsidRPr="00AB6AA3">
              <w:rPr>
                <w:rFonts w:ascii="GHEA Grapalat" w:hAnsi="GHEA Grapalat"/>
                <w:color w:val="000000"/>
              </w:rPr>
              <w:t>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հանել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6.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Չի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ընդունվել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6.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քրեակատարողական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օրենսգրքի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132.1 –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րդ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հոդվածը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քրեակատարողական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հիմնարկում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նիստ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անցկացնելու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մասին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որոշմանը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դրան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վերաբերող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պահանջներին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քրեակատարողական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հիմնարկում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hy-AM"/>
              </w:rPr>
              <w:t>արտագնա դատական նիստը դռնբաց կամ դռնփակ անցկացնելու վերաբերյալ դատարանի դիրքորոշ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մանը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սակայն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այն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նաև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պետք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համապատասխանի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քաղաքացիական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դատավարության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օրենսգրքում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փոփոխություններին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Այսինքն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132.1 –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րդ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հոդվածը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պետք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սահմանվի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քրեակատարողական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օրենսգրքում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 w:rsidRPr="00AB6AA3">
              <w:rPr>
                <w:rFonts w:ascii="GHEA Grapalat" w:hAnsi="GHEA Grapalat"/>
                <w:color w:val="000000"/>
                <w:lang w:val="af-ZA"/>
              </w:rPr>
              <w:t xml:space="preserve">7. </w:t>
            </w:r>
            <w:r w:rsidR="00671BAD" w:rsidRPr="00AB6AA3">
              <w:rPr>
                <w:rFonts w:ascii="GHEA Grapalat" w:hAnsi="GHEA Grapalat"/>
                <w:color w:val="000000"/>
              </w:rPr>
              <w:t>Եթե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&lt;&lt;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քրեակատարողական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կատարելու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&gt;&gt;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նախագիծը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ենթադրվում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տարածել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նաև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քրեական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շրջանակներում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արտագնա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նիստերի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վրա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ապա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խնդիր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կառաջանա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քրեկան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16-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հետ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որտեղ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սահմանվում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lastRenderedPageBreak/>
              <w:t>դռնփակ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նիստի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անցկացման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դեպքերը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և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շեշտվում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color w:val="000000"/>
              </w:rPr>
              <w:t>որ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այլ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դեպքեր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կարող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նախատեսվել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միայն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այդ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7.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Չի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ընդունվել</w:t>
            </w:r>
          </w:p>
        </w:tc>
        <w:tc>
          <w:tcPr>
            <w:tcW w:w="5218" w:type="dxa"/>
          </w:tcPr>
          <w:p w:rsidR="00671BAD" w:rsidRPr="00AB6AA3" w:rsidRDefault="00AB6AA3" w:rsidP="00AB6AA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7.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կողմից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մշակվել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ՀՀ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քրեական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դատավարության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նոր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օրեսգրքի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նախագիծը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որը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համապատասխանեցված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գործող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sz w:val="22"/>
                <w:szCs w:val="22"/>
              </w:rPr>
              <w:t>նախագծին</w:t>
            </w:r>
            <w:r w:rsidR="00671BAD" w:rsidRPr="00AB6AA3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671BAD" w:rsidRPr="001122DC" w:rsidTr="00044B4C">
        <w:trPr>
          <w:trHeight w:val="1243"/>
        </w:trPr>
        <w:tc>
          <w:tcPr>
            <w:tcW w:w="2453" w:type="dxa"/>
          </w:tcPr>
          <w:p w:rsidR="00671BAD" w:rsidRPr="00AB6AA3" w:rsidRDefault="00671BAD" w:rsidP="00AB6AA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578" w:type="dxa"/>
          </w:tcPr>
          <w:p w:rsidR="00671BAD" w:rsidRPr="00AB6AA3" w:rsidRDefault="00AB6AA3" w:rsidP="00AB6AA3">
            <w:pPr>
              <w:pStyle w:val="Bodytext1"/>
              <w:shd w:val="clear" w:color="auto" w:fill="auto"/>
              <w:tabs>
                <w:tab w:val="left" w:pos="1176"/>
              </w:tabs>
              <w:spacing w:before="0" w:line="240" w:lineRule="auto"/>
              <w:ind w:right="20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af-ZA"/>
              </w:rPr>
              <w:t xml:space="preserve">8. 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>&lt;&lt;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քրեակատարողական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լրացում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կատարելու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&gt;&gt;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նախագծի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 w:rsidR="00671BAD" w:rsidRPr="00AB6AA3">
              <w:rPr>
                <w:rFonts w:ascii="GHEA Grapalat" w:hAnsi="GHEA Grapalat"/>
                <w:color w:val="000000"/>
              </w:rPr>
              <w:t>ին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լրացվող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132.2-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3-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մասը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կարող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է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խնդրահարույց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լինել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ՀՀ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քաղաքացիական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դատավարության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օրենսգրքի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6-</w:t>
            </w:r>
            <w:r w:rsidR="00671BAD" w:rsidRPr="00AB6AA3">
              <w:rPr>
                <w:rFonts w:ascii="GHEA Grapalat" w:hAnsi="GHEA Grapalat"/>
                <w:color w:val="000000"/>
              </w:rPr>
              <w:t>րդ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հոդվածով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  <w:color w:val="000000"/>
              </w:rPr>
              <w:t>երաշխավորված</w:t>
            </w:r>
            <w:r w:rsidR="00671BAD" w:rsidRPr="00AB6AA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կողմերի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մրցակցության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իրավահավասարության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սկզբունքի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տեսանկյունից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քանի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որ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գործով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դատական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նիստերին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մասնակցությունը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հանդիսանում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է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գործով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կողմ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հանդիսացող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անձանց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իրավունքների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պաշտպանության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կարևորագույն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երաշխիք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ինչպես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նաև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նույն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օրենսգրքի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8-</w:t>
            </w:r>
            <w:r w:rsidR="00671BAD" w:rsidRPr="00AB6AA3">
              <w:rPr>
                <w:rFonts w:ascii="GHEA Grapalat" w:hAnsi="GHEA Grapalat"/>
              </w:rPr>
              <w:t>րդ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հոդվածի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4-</w:t>
            </w:r>
            <w:r w:rsidR="00671BAD" w:rsidRPr="00AB6AA3">
              <w:rPr>
                <w:rFonts w:ascii="GHEA Grapalat" w:hAnsi="GHEA Grapalat"/>
              </w:rPr>
              <w:t>րդ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հետ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համաձայն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որի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նույնիսկ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դռնփակ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նիստում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քննելիս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ներկա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են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գտնվում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գործին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մասնակցող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անձինք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նրանց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ներկայացուցիչները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իսկ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անհրաժեշտության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դեպքում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` </w:t>
            </w:r>
            <w:r w:rsidR="00671BAD" w:rsidRPr="00AB6AA3">
              <w:rPr>
                <w:rFonts w:ascii="GHEA Grapalat" w:hAnsi="GHEA Grapalat"/>
              </w:rPr>
              <w:t>նաև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վկաները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, </w:t>
            </w:r>
            <w:r w:rsidR="00671BAD" w:rsidRPr="00AB6AA3">
              <w:rPr>
                <w:rFonts w:ascii="GHEA Grapalat" w:hAnsi="GHEA Grapalat"/>
              </w:rPr>
              <w:t>փորձագետները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և</w:t>
            </w:r>
            <w:r w:rsidR="00671BAD" w:rsidRPr="00AB6AA3">
              <w:rPr>
                <w:rFonts w:ascii="GHEA Grapalat" w:hAnsi="GHEA Grapalat"/>
                <w:lang w:val="af-ZA"/>
              </w:rPr>
              <w:t xml:space="preserve"> </w:t>
            </w:r>
            <w:r w:rsidR="00671BAD" w:rsidRPr="00AB6AA3">
              <w:rPr>
                <w:rFonts w:ascii="GHEA Grapalat" w:hAnsi="GHEA Grapalat"/>
              </w:rPr>
              <w:t>թարգմանիչները</w:t>
            </w:r>
            <w:r w:rsidR="00671BAD" w:rsidRPr="00AB6AA3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02" w:type="dxa"/>
          </w:tcPr>
          <w:p w:rsidR="00671BAD" w:rsidRPr="00AB6AA3" w:rsidRDefault="00AB6AA3" w:rsidP="00AB6AA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8.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Ընդունելի է:</w:t>
            </w:r>
          </w:p>
        </w:tc>
        <w:tc>
          <w:tcPr>
            <w:tcW w:w="5218" w:type="dxa"/>
          </w:tcPr>
          <w:p w:rsidR="001122DC" w:rsidRPr="001122DC" w:rsidRDefault="00AB6AA3" w:rsidP="001122DC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1122DC">
              <w:rPr>
                <w:rFonts w:ascii="GHEA Grapalat" w:hAnsi="GHEA Grapalat"/>
                <w:sz w:val="22"/>
                <w:szCs w:val="22"/>
                <w:lang w:val="en-US"/>
              </w:rPr>
              <w:t>8.</w:t>
            </w:r>
            <w:r w:rsidR="001122DC">
              <w:rPr>
                <w:rFonts w:ascii="GHEA Grapalat" w:hAnsi="GHEA Grapalat"/>
                <w:sz w:val="22"/>
                <w:szCs w:val="22"/>
                <w:lang w:val="en-US"/>
              </w:rPr>
              <w:t xml:space="preserve"> Նախագծի 1-ին հոդվածով լրացվող</w:t>
            </w:r>
            <w:r w:rsidR="001122DC" w:rsidRPr="001122D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122DC">
              <w:rPr>
                <w:rFonts w:ascii="GHEA Grapalat" w:hAnsi="GHEA Grapalat"/>
                <w:sz w:val="22"/>
                <w:szCs w:val="22"/>
                <w:lang w:val="en-US"/>
              </w:rPr>
              <w:t xml:space="preserve">22.1-րդ գլխում </w:t>
            </w:r>
            <w:r w:rsidR="001122DC" w:rsidRPr="001122DC">
              <w:rPr>
                <w:rFonts w:ascii="GHEA Grapalat" w:hAnsi="GHEA Grapalat"/>
                <w:sz w:val="22"/>
                <w:szCs w:val="22"/>
                <w:lang w:val="en-US"/>
              </w:rPr>
              <w:t>արդեն իսկ նախատեսվել է դրույթ, համաձայն որի՝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քրեակատարողական հիմնարկում անցկացվող արտագնա դատական նիստին մասնակցելու համար</w:t>
            </w:r>
            <w:r w:rsidR="001122D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նախագծով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1122DC">
              <w:rPr>
                <w:rFonts w:ascii="GHEA Grapalat" w:hAnsi="GHEA Grapalat"/>
                <w:sz w:val="22"/>
                <w:szCs w:val="22"/>
                <w:lang w:val="en-US"/>
              </w:rPr>
              <w:t xml:space="preserve">լրացվող 132.2-րդ հոդվածով սահմանված կարգով 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hy-AM"/>
              </w:rPr>
              <w:t>դիմած անձանց մասնակցությունը թույլատրելու կամ մերժելու մասին կայաց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en-US"/>
              </w:rPr>
              <w:t>վում է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գրավոր որոշում, որն ուղարկվում է դիմում ներկայացրած անձանց հասցեով, իսկ դիմումում էլեկտրոնային փոստի հասցե և հեռախոսահամար նշված լինելու դեպքում, նաև ուղարկում է էլեկտրոնային փոստի հասցեով կամ ծանուցում հեռախոսահամարով</w:t>
            </w:r>
            <w:r w:rsidR="001122DC" w:rsidRPr="001122D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: </w:t>
            </w:r>
          </w:p>
          <w:p w:rsidR="00671BAD" w:rsidRPr="00AB6AA3" w:rsidRDefault="00AB6AA3" w:rsidP="001122D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122DC">
              <w:rPr>
                <w:rFonts w:ascii="GHEA Grapalat" w:hAnsi="GHEA Grapalat"/>
                <w:sz w:val="22"/>
                <w:szCs w:val="22"/>
                <w:lang w:val="en-US"/>
              </w:rPr>
              <w:t>Բացի այդ, ն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շված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122DC">
              <w:rPr>
                <w:rFonts w:ascii="GHEA Grapalat" w:hAnsi="GHEA Grapalat"/>
                <w:sz w:val="22"/>
                <w:szCs w:val="22"/>
              </w:rPr>
              <w:t>նորմ</w:t>
            </w:r>
            <w:r w:rsidRPr="001122DC">
              <w:rPr>
                <w:rFonts w:ascii="GHEA Grapalat" w:hAnsi="GHEA Grapalat"/>
                <w:sz w:val="22"/>
                <w:szCs w:val="22"/>
                <w:lang w:val="en-US"/>
              </w:rPr>
              <w:t>ն ըստ էության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չի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գործին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մասնակցող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անձանց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այլ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հասարակության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մասնակիցներին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ովքեր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ցանկանում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են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մասնակցել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դատական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նիստին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ինչը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բխում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է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նաև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հոդվածի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1BAD" w:rsidRPr="001122DC">
              <w:rPr>
                <w:rFonts w:ascii="GHEA Grapalat" w:hAnsi="GHEA Grapalat"/>
                <w:sz w:val="22"/>
                <w:szCs w:val="22"/>
              </w:rPr>
              <w:t>վերնագրից</w:t>
            </w:r>
            <w:r w:rsidR="00671BAD" w:rsidRPr="001122DC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697863" w:rsidRPr="00AB6AA3" w:rsidRDefault="00697863" w:rsidP="00697863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697863" w:rsidRPr="00AB6AA3" w:rsidRDefault="00697863" w:rsidP="00697863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697863" w:rsidRPr="00AB6AA3" w:rsidRDefault="00697863" w:rsidP="00697863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697863" w:rsidRPr="00AB6AA3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697863" w:rsidRPr="00AB6AA3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697863" w:rsidRPr="00AB6AA3" w:rsidRDefault="00697863" w:rsidP="00697863">
      <w:pPr>
        <w:rPr>
          <w:rFonts w:ascii="GHEA Grapalat" w:hAnsi="GHEA Grapalat"/>
          <w:sz w:val="22"/>
          <w:szCs w:val="22"/>
          <w:lang w:val="af-ZA"/>
        </w:rPr>
      </w:pPr>
    </w:p>
    <w:p w:rsidR="009D7D11" w:rsidRPr="00AB6AA3" w:rsidRDefault="009D7D11">
      <w:pPr>
        <w:rPr>
          <w:rFonts w:ascii="GHEA Grapalat" w:hAnsi="GHEA Grapalat"/>
          <w:sz w:val="22"/>
          <w:szCs w:val="22"/>
          <w:lang w:val="af-ZA"/>
        </w:rPr>
      </w:pPr>
    </w:p>
    <w:sectPr w:rsidR="009D7D11" w:rsidRPr="00AB6AA3" w:rsidSect="008A1E25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398C"/>
    <w:multiLevelType w:val="hybridMultilevel"/>
    <w:tmpl w:val="BFF0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0111"/>
    <w:multiLevelType w:val="hybridMultilevel"/>
    <w:tmpl w:val="12E2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1086"/>
    <w:multiLevelType w:val="multilevel"/>
    <w:tmpl w:val="5900E3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77328F"/>
    <w:multiLevelType w:val="multilevel"/>
    <w:tmpl w:val="5900E30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7F4F48"/>
    <w:multiLevelType w:val="hybridMultilevel"/>
    <w:tmpl w:val="84FC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317B8"/>
    <w:multiLevelType w:val="hybridMultilevel"/>
    <w:tmpl w:val="443C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97863"/>
    <w:rsid w:val="0005664B"/>
    <w:rsid w:val="0009491B"/>
    <w:rsid w:val="001122DC"/>
    <w:rsid w:val="00117062"/>
    <w:rsid w:val="00205992"/>
    <w:rsid w:val="002A2DF0"/>
    <w:rsid w:val="0039342B"/>
    <w:rsid w:val="00421603"/>
    <w:rsid w:val="00671BAD"/>
    <w:rsid w:val="00697863"/>
    <w:rsid w:val="00705958"/>
    <w:rsid w:val="00860FCC"/>
    <w:rsid w:val="008D7046"/>
    <w:rsid w:val="009D293A"/>
    <w:rsid w:val="009D7D11"/>
    <w:rsid w:val="00AB6AA3"/>
    <w:rsid w:val="00B153DF"/>
    <w:rsid w:val="00BA1325"/>
    <w:rsid w:val="00C525F9"/>
    <w:rsid w:val="00C70732"/>
    <w:rsid w:val="00C73955"/>
    <w:rsid w:val="00CF4053"/>
    <w:rsid w:val="00E86055"/>
    <w:rsid w:val="00FC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86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rsid w:val="00697863"/>
    <w:rPr>
      <w:rFonts w:ascii="Arial Armenian" w:hAnsi="Arial Armenian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9786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1">
    <w:name w:val="Body Text Char1"/>
    <w:basedOn w:val="DefaultParagraphFont"/>
    <w:link w:val="BodyText"/>
    <w:rsid w:val="00697863"/>
    <w:rPr>
      <w:rFonts w:ascii="Times Armenian" w:hAnsi="Times Armenian" w:cs="Times Armenian"/>
      <w:sz w:val="24"/>
      <w:szCs w:val="24"/>
    </w:rPr>
  </w:style>
  <w:style w:type="paragraph" w:customStyle="1" w:styleId="yiv69441412msonormal">
    <w:name w:val="yiv69441412msonormal"/>
    <w:basedOn w:val="Normal"/>
    <w:rsid w:val="0069786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697863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style-span">
    <w:name w:val="apple-style-span"/>
    <w:basedOn w:val="DefaultParagraphFont"/>
    <w:uiPriority w:val="99"/>
    <w:rsid w:val="0069786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97863"/>
    <w:rPr>
      <w:rFonts w:cs="Times New Roman"/>
    </w:rPr>
  </w:style>
  <w:style w:type="paragraph" w:customStyle="1" w:styleId="a">
    <w:name w:val="Абзац списка"/>
    <w:basedOn w:val="Normal"/>
    <w:uiPriority w:val="99"/>
    <w:rsid w:val="00697863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978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7863"/>
    <w:rPr>
      <w:b/>
      <w:bCs/>
    </w:rPr>
  </w:style>
  <w:style w:type="character" w:customStyle="1" w:styleId="Bodytext0">
    <w:name w:val="Body text_"/>
    <w:basedOn w:val="DefaultParagraphFont"/>
    <w:link w:val="Bodytext1"/>
    <w:rsid w:val="00697863"/>
    <w:rPr>
      <w:rFonts w:ascii="Sylfaen" w:eastAsia="Sylfaen" w:hAnsi="Sylfaen" w:cs="Sylfaen"/>
      <w:sz w:val="22"/>
      <w:szCs w:val="22"/>
      <w:shd w:val="clear" w:color="auto" w:fill="FFFFFF"/>
    </w:rPr>
  </w:style>
  <w:style w:type="paragraph" w:customStyle="1" w:styleId="Bodytext1">
    <w:name w:val="Body text"/>
    <w:basedOn w:val="Normal"/>
    <w:link w:val="Bodytext0"/>
    <w:rsid w:val="00697863"/>
    <w:pPr>
      <w:widowControl w:val="0"/>
      <w:shd w:val="clear" w:color="auto" w:fill="FFFFFF"/>
      <w:autoSpaceDE/>
      <w:autoSpaceDN/>
      <w:adjustRightInd/>
      <w:spacing w:before="180" w:line="522" w:lineRule="exact"/>
    </w:pPr>
    <w:rPr>
      <w:rFonts w:ascii="Sylfaen" w:eastAsia="Sylfaen" w:hAnsi="Sylfaen" w:cs="Sylfaen"/>
      <w:sz w:val="22"/>
      <w:szCs w:val="22"/>
    </w:rPr>
  </w:style>
  <w:style w:type="character" w:customStyle="1" w:styleId="Bodytext115ptItalicSpacing-1pt">
    <w:name w:val="Body text + 11;5 pt;Italic;Spacing -1 pt"/>
    <w:basedOn w:val="Bodytext0"/>
    <w:rsid w:val="00117062"/>
    <w:rPr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/>
    </w:rPr>
  </w:style>
  <w:style w:type="character" w:styleId="Emphasis">
    <w:name w:val="Emphasis"/>
    <w:basedOn w:val="DefaultParagraphFont"/>
    <w:uiPriority w:val="20"/>
    <w:qFormat/>
    <w:rsid w:val="00B153DF"/>
    <w:rPr>
      <w:i/>
      <w:iCs/>
    </w:rPr>
  </w:style>
  <w:style w:type="character" w:styleId="Hyperlink">
    <w:name w:val="Hyperlink"/>
    <w:basedOn w:val="DefaultParagraphFont"/>
    <w:uiPriority w:val="99"/>
    <w:unhideWhenUsed/>
    <w:rsid w:val="00B15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153D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0C447-A470-4B92-878F-1906D102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zaruhib</cp:lastModifiedBy>
  <cp:revision>2</cp:revision>
  <dcterms:created xsi:type="dcterms:W3CDTF">2013-01-29T12:44:00Z</dcterms:created>
  <dcterms:modified xsi:type="dcterms:W3CDTF">2013-01-29T12:44:00Z</dcterms:modified>
</cp:coreProperties>
</file>