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63" w:rsidRPr="0039342B" w:rsidRDefault="00697863" w:rsidP="00697863">
      <w:pPr>
        <w:pStyle w:val="BodyText"/>
        <w:spacing w:line="360" w:lineRule="auto"/>
        <w:jc w:val="center"/>
        <w:rPr>
          <w:rFonts w:ascii="GHEA Grapalat" w:hAnsi="GHEA Grapalat"/>
          <w:caps/>
          <w:sz w:val="22"/>
          <w:szCs w:val="22"/>
          <w:lang w:val="af-ZA"/>
        </w:rPr>
      </w:pPr>
      <w:r w:rsidRPr="0039342B">
        <w:rPr>
          <w:rFonts w:ascii="GHEA Grapalat" w:hAnsi="GHEA Grapalat" w:cs="Sylfaen"/>
          <w:caps/>
          <w:sz w:val="22"/>
          <w:szCs w:val="22"/>
        </w:rPr>
        <w:t>Ա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Մ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Փ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Ո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Փ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Ա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Թ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Ե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Ր</w:t>
      </w:r>
      <w:r w:rsidRPr="0039342B">
        <w:rPr>
          <w:rFonts w:ascii="GHEA Grapalat" w:hAnsi="GHEA Grapalat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caps/>
          <w:sz w:val="22"/>
          <w:szCs w:val="22"/>
        </w:rPr>
        <w:t>Թ</w:t>
      </w:r>
    </w:p>
    <w:p w:rsidR="00697863" w:rsidRPr="0039342B" w:rsidRDefault="00697863" w:rsidP="00697863">
      <w:pPr>
        <w:spacing w:line="360" w:lineRule="auto"/>
        <w:jc w:val="center"/>
        <w:rPr>
          <w:rFonts w:ascii="GHEA Grapalat" w:hAnsi="GHEA Grapalat"/>
          <w:bCs/>
          <w:caps/>
          <w:sz w:val="22"/>
          <w:szCs w:val="22"/>
          <w:lang w:val="af-ZA"/>
        </w:rPr>
      </w:pPr>
      <w:r w:rsidRPr="0039342B">
        <w:rPr>
          <w:rFonts w:ascii="GHEA Grapalat" w:hAnsi="GHEA Grapalat" w:cs="Arial LatArm"/>
          <w:caps/>
          <w:sz w:val="22"/>
          <w:szCs w:val="22"/>
          <w:lang w:val="af-ZA"/>
        </w:rPr>
        <w:t xml:space="preserve">«Հայաստանի Հանրապետության </w:t>
      </w:r>
      <w:r w:rsidR="00117062" w:rsidRPr="0039342B">
        <w:rPr>
          <w:rFonts w:ascii="GHEA Grapalat" w:hAnsi="GHEA Grapalat"/>
          <w:sz w:val="22"/>
          <w:szCs w:val="22"/>
        </w:rPr>
        <w:t>ՔԱՂԱՔԱՑԻԱԿԱՆ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ԴԱՏԱՎԱՐՈՒԹՅԱՆ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ՕՐԵՆՍԳՐՔՈՒՄ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ՓՈՓՈԽՈՒԹՅՈՒՆ</w:t>
      </w:r>
      <w:r w:rsidR="00705958">
        <w:rPr>
          <w:rFonts w:ascii="GHEA Grapalat" w:hAnsi="GHEA Grapalat"/>
          <w:sz w:val="22"/>
          <w:szCs w:val="22"/>
          <w:lang w:val="en-US"/>
        </w:rPr>
        <w:t>ՆԵՐ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ԵՎ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ԼՐԱՑՈՒՄ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ԿԱՏԱՐԵԼՈՒ</w:t>
      </w:r>
      <w:r w:rsidR="00117062" w:rsidRPr="003934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7062" w:rsidRPr="0039342B">
        <w:rPr>
          <w:rFonts w:ascii="GHEA Grapalat" w:hAnsi="GHEA Grapalat"/>
          <w:sz w:val="22"/>
          <w:szCs w:val="22"/>
        </w:rPr>
        <w:t>ՄԱՍԻՆ</w:t>
      </w:r>
      <w:r w:rsidR="00705958">
        <w:rPr>
          <w:rFonts w:ascii="GHEA Grapalat" w:hAnsi="GHEA Grapalat" w:cs="Arial LatArm"/>
          <w:caps/>
          <w:sz w:val="22"/>
          <w:szCs w:val="22"/>
          <w:lang w:val="af-ZA"/>
        </w:rPr>
        <w:t>»</w:t>
      </w:r>
      <w:r w:rsidRPr="0039342B">
        <w:rPr>
          <w:rFonts w:ascii="GHEA Grapalat" w:hAnsi="GHEA Grapalat" w:cs="Arial LatArm"/>
          <w:caps/>
          <w:sz w:val="22"/>
          <w:szCs w:val="22"/>
          <w:lang w:val="af-ZA"/>
        </w:rPr>
        <w:t xml:space="preserve"> ՀՀ օրենքի </w:t>
      </w:r>
      <w:r w:rsidR="00705958">
        <w:rPr>
          <w:rFonts w:ascii="GHEA Grapalat" w:hAnsi="GHEA Grapalat" w:cs="Arial LatArm"/>
          <w:caps/>
          <w:sz w:val="22"/>
          <w:szCs w:val="22"/>
          <w:lang w:val="af-ZA"/>
        </w:rPr>
        <w:t>ՆԱԽԱԳԾԻ</w:t>
      </w:r>
      <w:r w:rsidRPr="0039342B">
        <w:rPr>
          <w:rFonts w:ascii="GHEA Grapalat" w:hAnsi="GHEA Grapalat" w:cs="Arial LatArm"/>
          <w:caps/>
          <w:sz w:val="22"/>
          <w:szCs w:val="22"/>
          <w:lang w:val="af-ZA"/>
        </w:rPr>
        <w:t xml:space="preserve"> </w:t>
      </w:r>
      <w:r w:rsidRPr="0039342B">
        <w:rPr>
          <w:rFonts w:ascii="GHEA Grapalat" w:hAnsi="GHEA Grapalat" w:cs="Sylfaen"/>
          <w:bCs/>
          <w:caps/>
          <w:sz w:val="22"/>
          <w:szCs w:val="22"/>
        </w:rPr>
        <w:t>վերաբերյալ</w:t>
      </w:r>
      <w:r w:rsidRPr="0039342B">
        <w:rPr>
          <w:rFonts w:ascii="GHEA Grapalat" w:hAnsi="GHEA Grapalat"/>
          <w:bCs/>
          <w:caps/>
          <w:sz w:val="22"/>
          <w:szCs w:val="22"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5578"/>
        <w:gridCol w:w="2102"/>
        <w:gridCol w:w="5218"/>
      </w:tblGrid>
      <w:tr w:rsidR="00697863" w:rsidRPr="0039342B" w:rsidTr="0039342B">
        <w:trPr>
          <w:trHeight w:val="1130"/>
        </w:trPr>
        <w:tc>
          <w:tcPr>
            <w:tcW w:w="2453" w:type="dxa"/>
          </w:tcPr>
          <w:p w:rsidR="00697863" w:rsidRPr="0039342B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</w:t>
            </w:r>
          </w:p>
          <w:p w:rsidR="00697863" w:rsidRPr="0039342B" w:rsidRDefault="00697863" w:rsidP="00044B4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հեղինակը</w:t>
            </w:r>
          </w:p>
          <w:p w:rsidR="00697863" w:rsidRPr="0039342B" w:rsidRDefault="00697863" w:rsidP="00044B4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97863" w:rsidRPr="0039342B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</w:t>
            </w:r>
          </w:p>
          <w:p w:rsidR="00697863" w:rsidRPr="0039342B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02" w:type="dxa"/>
          </w:tcPr>
          <w:p w:rsidR="00697863" w:rsidRPr="0039342B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218" w:type="dxa"/>
          </w:tcPr>
          <w:p w:rsidR="00697863" w:rsidRPr="0039342B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697863" w:rsidRPr="0039342B" w:rsidTr="00044B4C">
        <w:tc>
          <w:tcPr>
            <w:tcW w:w="2453" w:type="dxa"/>
          </w:tcPr>
          <w:p w:rsidR="00697863" w:rsidRPr="0039342B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78" w:type="dxa"/>
          </w:tcPr>
          <w:p w:rsidR="00697863" w:rsidRPr="0039342B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02" w:type="dxa"/>
          </w:tcPr>
          <w:p w:rsidR="00697863" w:rsidRPr="0039342B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218" w:type="dxa"/>
          </w:tcPr>
          <w:p w:rsidR="00697863" w:rsidRPr="0039342B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697863" w:rsidRPr="00C70732" w:rsidTr="00044B4C">
        <w:trPr>
          <w:trHeight w:val="1243"/>
        </w:trPr>
        <w:tc>
          <w:tcPr>
            <w:tcW w:w="2453" w:type="dxa"/>
          </w:tcPr>
          <w:p w:rsidR="00697863" w:rsidRPr="0039342B" w:rsidRDefault="00697863" w:rsidP="00044B4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="00BA1325" w:rsidRPr="0039342B"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 վճռաբեկ դատարան</w:t>
            </w:r>
          </w:p>
          <w:p w:rsidR="00697863" w:rsidRPr="0039342B" w:rsidRDefault="00697863" w:rsidP="00044B4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97863" w:rsidRPr="0039342B" w:rsidRDefault="00697863" w:rsidP="00117062">
            <w:pPr>
              <w:pStyle w:val="Bodytext1"/>
              <w:shd w:val="clear" w:color="auto" w:fill="auto"/>
              <w:tabs>
                <w:tab w:val="left" w:pos="1176"/>
              </w:tabs>
              <w:spacing w:before="0" w:line="385" w:lineRule="exact"/>
              <w:ind w:right="2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  <w:lang w:val="af-ZA"/>
              </w:rPr>
              <w:t>«</w:t>
            </w:r>
            <w:r w:rsidRPr="0039342B">
              <w:rPr>
                <w:rFonts w:ascii="GHEA Grapalat" w:hAnsi="GHEA Grapalat"/>
              </w:rPr>
              <w:t>Հայաստանի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Հանրապետության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քաղաքացիական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դատավարության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փոփոխություն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լրացում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կատարելու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մասին</w:t>
            </w:r>
            <w:r w:rsidRPr="0039342B">
              <w:rPr>
                <w:rFonts w:ascii="GHEA Grapalat" w:hAnsi="GHEA Grapalat"/>
                <w:lang w:val="af-ZA"/>
              </w:rPr>
              <w:t xml:space="preserve">» </w:t>
            </w:r>
            <w:r w:rsidRPr="0039342B">
              <w:rPr>
                <w:rFonts w:ascii="GHEA Grapalat" w:hAnsi="GHEA Grapalat"/>
              </w:rPr>
              <w:t>ՀՀ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օրենքի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նախագծի</w:t>
            </w:r>
            <w:r w:rsidRPr="0039342B">
              <w:rPr>
                <w:rFonts w:ascii="GHEA Grapalat" w:hAnsi="GHEA Grapalat"/>
                <w:lang w:val="af-ZA"/>
              </w:rPr>
              <w:t xml:space="preserve"> (</w:t>
            </w:r>
            <w:r w:rsidRPr="0039342B">
              <w:rPr>
                <w:rFonts w:ascii="GHEA Grapalat" w:hAnsi="GHEA Grapalat"/>
              </w:rPr>
              <w:t>այսուհետ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Նախագիծ</w:t>
            </w:r>
            <w:r w:rsidRPr="0039342B">
              <w:rPr>
                <w:rFonts w:ascii="GHEA Grapalat" w:hAnsi="GHEA Grapalat"/>
                <w:lang w:val="af-ZA"/>
              </w:rPr>
              <w:t>) 1</w:t>
            </w:r>
            <w:r w:rsidRPr="0039342B">
              <w:rPr>
                <w:rFonts w:ascii="GHEA Grapalat" w:hAnsi="GHEA Grapalat"/>
              </w:rPr>
              <w:t>փն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>' «</w:t>
            </w:r>
            <w:r w:rsidRPr="0039342B">
              <w:rPr>
                <w:rFonts w:ascii="GHEA Grapalat" w:hAnsi="GHEA Grapalat"/>
              </w:rPr>
              <w:t>Հոդված</w:t>
            </w:r>
            <w:r w:rsidRPr="0039342B">
              <w:rPr>
                <w:rFonts w:ascii="GHEA Grapalat" w:hAnsi="GHEA Grapalat"/>
                <w:lang w:val="af-ZA"/>
              </w:rPr>
              <w:t xml:space="preserve"> 112»-</w:t>
            </w:r>
            <w:r w:rsidRPr="0039342B">
              <w:rPr>
                <w:rFonts w:ascii="GHEA Grapalat" w:hAnsi="GHEA Grapalat"/>
              </w:rPr>
              <w:t>ի</w:t>
            </w:r>
            <w:r w:rsidRPr="0039342B">
              <w:rPr>
                <w:rFonts w:ascii="GHEA Grapalat" w:hAnsi="GHEA Grapalat"/>
                <w:lang w:val="af-ZA"/>
              </w:rPr>
              <w:t xml:space="preserve"> 2-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հստակ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տրված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չէ</w:t>
            </w:r>
            <w:r w:rsidRPr="0039342B">
              <w:rPr>
                <w:rFonts w:ascii="GHEA Grapalat" w:hAnsi="GHEA Grapalat"/>
                <w:lang w:val="af-ZA"/>
              </w:rPr>
              <w:t xml:space="preserve"> «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» </w:t>
            </w:r>
            <w:r w:rsidRPr="0039342B">
              <w:rPr>
                <w:rFonts w:ascii="GHEA Grapalat" w:hAnsi="GHEA Grapalat"/>
              </w:rPr>
              <w:t>հասկացության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սահմանումը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բնորոշ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գծերը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ինչի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հետևանքով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պատասխանի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մնացել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հետևյալ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հարցերը</w:t>
            </w:r>
            <w:r w:rsidRPr="0039342B">
              <w:rPr>
                <w:rFonts w:ascii="GHEA Grapalat" w:hAnsi="GHEA Grapalat"/>
                <w:lang w:val="af-ZA"/>
              </w:rPr>
              <w:t>.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ա</w:t>
            </w:r>
            <w:r w:rsidRPr="0039342B">
              <w:rPr>
                <w:rFonts w:ascii="GHEA Grapalat" w:hAnsi="GHEA Grapalat"/>
                <w:lang w:val="af-ZA"/>
              </w:rPr>
              <w:t xml:space="preserve">) </w:t>
            </w:r>
            <w:r w:rsidRPr="0039342B">
              <w:rPr>
                <w:rFonts w:ascii="GHEA Grapalat" w:hAnsi="GHEA Grapalat"/>
              </w:rPr>
              <w:t>արդյո՞ք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դահլիճում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կարելի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համարել</w:t>
            </w:r>
            <w:r w:rsidRPr="0039342B">
              <w:rPr>
                <w:rFonts w:ascii="GHEA Grapalat" w:hAnsi="GHEA Grapalat"/>
                <w:lang w:val="af-ZA"/>
              </w:rPr>
              <w:t>,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բ</w:t>
            </w:r>
            <w:r w:rsidRPr="0039342B">
              <w:rPr>
                <w:rFonts w:ascii="GHEA Grapalat" w:hAnsi="GHEA Grapalat"/>
                <w:lang w:val="af-ZA"/>
              </w:rPr>
              <w:t xml:space="preserve">) </w:t>
            </w:r>
            <w:r w:rsidRPr="0039342B">
              <w:rPr>
                <w:rFonts w:ascii="GHEA Grapalat" w:hAnsi="GHEA Grapalat"/>
              </w:rPr>
              <w:t>արդյո՞ք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շենքից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դուրս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օրինակ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հանրային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նշանակության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որևէ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շենքում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անցկացվող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կարելի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lastRenderedPageBreak/>
              <w:t>համարեի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եթե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ուղղակիորեն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կապված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ոչ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թե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ապացույցի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հետազոտման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այլ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արդարադատության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արդյունավետության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օրինակ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մեծ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թվով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հասարակության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անդամների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մասնակցության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ապահովման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Նախագծի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տրամաբանությանը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եթե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հետևենք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ապա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պետք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նիստը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>.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ա</w:t>
            </w:r>
            <w:r w:rsidRPr="0039342B">
              <w:rPr>
                <w:rFonts w:ascii="GHEA Grapalat" w:hAnsi="GHEA Grapalat"/>
                <w:lang w:val="af-ZA"/>
              </w:rPr>
              <w:t xml:space="preserve">)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դահլիճ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տեղափոխելու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հնարավորություն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չտվող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հարցում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դժվարություններ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առաջացնող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ապացույցների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գտնվելու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վայրում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դրանց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կամ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բ</w:t>
            </w:r>
            <w:r w:rsidRPr="0039342B">
              <w:rPr>
                <w:rFonts w:ascii="GHEA Grapalat" w:hAnsi="GHEA Grapalat"/>
                <w:lang w:val="af-ZA"/>
              </w:rPr>
              <w:t xml:space="preserve">) </w:t>
            </w:r>
            <w:r w:rsidRPr="0039342B">
              <w:rPr>
                <w:rFonts w:ascii="GHEA Grapalat" w:hAnsi="GHEA Grapalat"/>
              </w:rPr>
              <w:t>դատարան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ներկայանալու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հնարավորություն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չունեցող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որևէ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անձի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ապացույցների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ընցացքին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պարտադիր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ներկայությունն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ապահովելու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նրա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գտնվելու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վայրում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նիստը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Նախագծով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սահմանվել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բացառիկ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դեպքերը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սակայն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հաշվի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առնվել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ՀՀ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քաղաքացիական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դատավարության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(</w:t>
            </w:r>
            <w:r w:rsidRPr="0039342B">
              <w:rPr>
                <w:rFonts w:ascii="GHEA Grapalat" w:hAnsi="GHEA Grapalat"/>
              </w:rPr>
              <w:t>այսուհետ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Օրենսգիրք</w:t>
            </w:r>
            <w:r w:rsidRPr="0039342B">
              <w:rPr>
                <w:rFonts w:ascii="GHEA Grapalat" w:hAnsi="GHEA Grapalat"/>
                <w:lang w:val="af-ZA"/>
              </w:rPr>
              <w:t>) 50-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սահմանված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կարգավորումը</w:t>
            </w:r>
            <w:r w:rsidRPr="0039342B">
              <w:rPr>
                <w:rFonts w:ascii="GHEA Grapalat" w:hAnsi="GHEA Grapalat"/>
                <w:lang w:val="af-ZA"/>
              </w:rPr>
              <w:t xml:space="preserve">: </w:t>
            </w:r>
            <w:r w:rsidRPr="0039342B">
              <w:rPr>
                <w:rFonts w:ascii="GHEA Grapalat" w:hAnsi="GHEA Grapalat"/>
              </w:rPr>
              <w:t>Ըստ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հիշյալ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հոդվածի</w:t>
            </w:r>
            <w:r w:rsidRPr="0039342B">
              <w:rPr>
                <w:rFonts w:ascii="GHEA Grapalat" w:hAnsi="GHEA Grapalat"/>
                <w:lang w:val="af-ZA"/>
              </w:rPr>
              <w:t xml:space="preserve"> 1-</w:t>
            </w:r>
            <w:r w:rsidRPr="0039342B">
              <w:rPr>
                <w:rFonts w:ascii="GHEA Grapalat" w:hAnsi="GHEA Grapalat"/>
              </w:rPr>
              <w:t>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39342B">
              <w:rPr>
                <w:rFonts w:ascii="GHEA Grapalat" w:hAnsi="GHEA Grapalat"/>
              </w:rPr>
              <w:t>ապացույցները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բերելու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անհնարինության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դժվարության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դեպքում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կողմերի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միջնորդությամբ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նախաձեռնությամբ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իրավունք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ունի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դրանք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զննել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գտնվելու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վայրում</w:t>
            </w:r>
            <w:r w:rsidRPr="0039342B">
              <w:rPr>
                <w:rFonts w:ascii="GHEA Grapalat" w:hAnsi="GHEA Grapalat"/>
                <w:lang w:val="af-ZA"/>
              </w:rPr>
              <w:t xml:space="preserve">»: </w:t>
            </w:r>
            <w:r w:rsidRPr="0039342B">
              <w:rPr>
                <w:rFonts w:ascii="GHEA Grapalat" w:hAnsi="GHEA Grapalat"/>
              </w:rPr>
              <w:t>Սույն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դատավարական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գործողությունները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անվանելը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շատ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պարզունակ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մոտեցում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կլինի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այդ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պատճառով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օրենսդիրը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դրանք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նիստերից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դուրս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կատարվող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առանձին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դատավարական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գործողություններ</w:t>
            </w:r>
            <w:r w:rsidRPr="0039342B">
              <w:rPr>
                <w:rFonts w:ascii="GHEA Grapalat" w:hAnsi="GHEA Grapalat"/>
                <w:lang w:val="af-ZA"/>
              </w:rPr>
              <w:t xml:space="preserve"> (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146-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</w:t>
            </w:r>
            <w:r w:rsidRPr="0039342B">
              <w:rPr>
                <w:rFonts w:ascii="GHEA Grapalat" w:hAnsi="GHEA Grapalat"/>
                <w:lang w:val="af-ZA"/>
              </w:rPr>
              <w:t>):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2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Կարծում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պարտադիր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չէ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կապված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լինի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ապացույցների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«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» </w:t>
            </w:r>
            <w:r w:rsidRPr="0039342B">
              <w:rPr>
                <w:rFonts w:ascii="GHEA Grapalat" w:hAnsi="GHEA Grapalat"/>
              </w:rPr>
              <w:t>հասկացությունը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տարբերակել</w:t>
            </w:r>
            <w:r w:rsidRPr="0039342B">
              <w:rPr>
                <w:rFonts w:ascii="GHEA Grapalat" w:hAnsi="GHEA Grapalat"/>
                <w:lang w:val="af-ZA"/>
              </w:rPr>
              <w:t xml:space="preserve"> «</w:t>
            </w:r>
            <w:r w:rsidRPr="0039342B">
              <w:rPr>
                <w:rFonts w:ascii="GHEA Grapalat" w:hAnsi="GHEA Grapalat"/>
              </w:rPr>
              <w:t>ապացույցները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դրանց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գտնվելու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վայրում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զննել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հետազոտել</w:t>
            </w:r>
            <w:r w:rsidRPr="0039342B">
              <w:rPr>
                <w:rFonts w:ascii="GHEA Grapalat" w:hAnsi="GHEA Grapalat"/>
                <w:lang w:val="af-ZA"/>
              </w:rPr>
              <w:t xml:space="preserve">» </w:t>
            </w:r>
            <w:r w:rsidRPr="0039342B">
              <w:rPr>
                <w:rFonts w:ascii="GHEA Grapalat" w:hAnsi="GHEA Grapalat"/>
              </w:rPr>
              <w:t>հասկացությունից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ըստ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այդմ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նախատեսելով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հետևյալ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բացառիկ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հիմքը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եթե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բխում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արդարադատության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արդյունավետության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շահերից</w:t>
            </w:r>
            <w:r w:rsidRPr="0039342B">
              <w:rPr>
                <w:rFonts w:ascii="GHEA Grapalat" w:hAnsi="GHEA Grapalat"/>
                <w:lang w:val="af-ZA"/>
              </w:rPr>
              <w:t xml:space="preserve">: </w:t>
            </w:r>
            <w:r w:rsidRPr="0039342B">
              <w:rPr>
                <w:rFonts w:ascii="GHEA Grapalat" w:hAnsi="GHEA Grapalat"/>
              </w:rPr>
              <w:t>Արդարադատության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արդյունավետության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հասկացության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ներքո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կարեփ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ընդգրկել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օրինակ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հասարակության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իրավագիտակցության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մակարդակի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բարձրացման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նպատակով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հանրային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միջոցառումների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lastRenderedPageBreak/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մեծ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դահլիճում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նիստը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697863" w:rsidRPr="0039342B" w:rsidRDefault="00697863" w:rsidP="00697863">
            <w:pPr>
              <w:pStyle w:val="Bodytext1"/>
              <w:shd w:val="clear" w:color="auto" w:fill="auto"/>
              <w:spacing w:before="0" w:line="385" w:lineRule="exact"/>
              <w:ind w:left="20" w:right="4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Ելնելով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վերոգրյալից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առաջարկում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քննարկվող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շարադրել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հետևյալ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խմբագրությամբ</w:t>
            </w:r>
            <w:r w:rsidRPr="0039342B">
              <w:rPr>
                <w:rFonts w:ascii="GHEA Grapalat" w:hAnsi="GHEA Grapalat"/>
                <w:lang w:val="af-ZA"/>
              </w:rPr>
              <w:t>. «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որոշմամբ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դահլիճից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դուրս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եթե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բխում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արդարադատության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արդյունավետության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շահերից</w:t>
            </w:r>
            <w:r w:rsidRPr="0039342B">
              <w:rPr>
                <w:rFonts w:ascii="GHEA Grapalat" w:hAnsi="GHEA Grapalat"/>
                <w:lang w:val="af-ZA"/>
              </w:rPr>
              <w:t xml:space="preserve">»: </w:t>
            </w:r>
            <w:r w:rsidRPr="0039342B">
              <w:rPr>
                <w:rFonts w:ascii="GHEA Grapalat" w:hAnsi="GHEA Grapalat"/>
              </w:rPr>
              <w:t>Այս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կապակցությամբ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հանել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խմբագրել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Նախագծի</w:t>
            </w:r>
            <w:r w:rsidRPr="0039342B">
              <w:rPr>
                <w:rFonts w:ascii="GHEA Grapalat" w:hAnsi="GHEA Grapalat"/>
                <w:lang w:val="af-ZA"/>
              </w:rPr>
              <w:t xml:space="preserve"> 2-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>' «</w:t>
            </w:r>
            <w:r w:rsidRPr="0039342B">
              <w:rPr>
                <w:rFonts w:ascii="GHEA Grapalat" w:hAnsi="GHEA Grapalat"/>
              </w:rPr>
              <w:t>Հոդված</w:t>
            </w:r>
            <w:r w:rsidRPr="0039342B">
              <w:rPr>
                <w:rFonts w:ascii="GHEA Grapalat" w:hAnsi="GHEA Grapalat"/>
                <w:lang w:val="af-ZA"/>
              </w:rPr>
              <w:t xml:space="preserve"> 112.1»-</w:t>
            </w:r>
            <w:r w:rsidRPr="0039342B">
              <w:rPr>
                <w:rFonts w:ascii="GHEA Grapalat" w:hAnsi="GHEA Grapalat"/>
              </w:rPr>
              <w:t>ի</w:t>
            </w:r>
            <w:r w:rsidRPr="0039342B">
              <w:rPr>
                <w:rFonts w:ascii="GHEA Grapalat" w:hAnsi="GHEA Grapalat"/>
                <w:lang w:val="af-ZA"/>
              </w:rPr>
              <w:t xml:space="preserve"> 4-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մասը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697863" w:rsidRPr="0039342B" w:rsidRDefault="00117062" w:rsidP="00117062">
            <w:pPr>
              <w:tabs>
                <w:tab w:val="left" w:pos="1935"/>
              </w:tabs>
              <w:spacing w:line="360" w:lineRule="auto"/>
              <w:ind w:firstLine="792"/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Arial LatArm"/>
                <w:sz w:val="22"/>
                <w:szCs w:val="22"/>
                <w:lang w:val="af-ZA"/>
              </w:rPr>
              <w:tab/>
            </w:r>
          </w:p>
        </w:tc>
        <w:tc>
          <w:tcPr>
            <w:tcW w:w="2102" w:type="dxa"/>
          </w:tcPr>
          <w:p w:rsidR="00697863" w:rsidRPr="0039342B" w:rsidRDefault="00697863" w:rsidP="00697863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է:</w:t>
            </w:r>
          </w:p>
        </w:tc>
        <w:tc>
          <w:tcPr>
            <w:tcW w:w="5218" w:type="dxa"/>
          </w:tcPr>
          <w:p w:rsidR="00697863" w:rsidRPr="0039342B" w:rsidRDefault="00697863" w:rsidP="00697863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112-րդ հոդվածի 1-ին մասը շարադրվել է հետևյալ խմբագրությամբ.&lt;&lt;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Դատարանի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դատական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նիստը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անցկացվել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արտագնա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դատական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նիստերի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դահլիճիս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դա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բխում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արդյունավետության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շահերից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&gt;&gt;:</w:t>
            </w:r>
          </w:p>
          <w:p w:rsidR="00697863" w:rsidRPr="0039342B" w:rsidRDefault="00697863" w:rsidP="00697863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Դրանով պայմանավորված նախագծի </w:t>
            </w:r>
            <w:r w:rsidR="00117062" w:rsidRPr="0039342B">
              <w:rPr>
                <w:rFonts w:ascii="GHEA Grapalat" w:hAnsi="GHEA Grapalat"/>
                <w:sz w:val="22"/>
                <w:szCs w:val="22"/>
                <w:lang w:val="af-ZA"/>
              </w:rPr>
              <w:t>112.1-րդ հոդվածի 4-րդ մասը հանվել է:</w:t>
            </w:r>
          </w:p>
          <w:p w:rsidR="00697863" w:rsidRPr="0039342B" w:rsidRDefault="00697863" w:rsidP="00697863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697863" w:rsidRPr="00C70732" w:rsidTr="0039342B">
        <w:trPr>
          <w:trHeight w:val="3959"/>
        </w:trPr>
        <w:tc>
          <w:tcPr>
            <w:tcW w:w="2453" w:type="dxa"/>
          </w:tcPr>
          <w:p w:rsidR="00697863" w:rsidRPr="0039342B" w:rsidRDefault="00697863" w:rsidP="00697863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վճռաբեկ դատարան</w:t>
            </w:r>
          </w:p>
        </w:tc>
        <w:tc>
          <w:tcPr>
            <w:tcW w:w="5578" w:type="dxa"/>
          </w:tcPr>
          <w:p w:rsidR="00117062" w:rsidRPr="0039342B" w:rsidRDefault="00117062" w:rsidP="00117062">
            <w:pPr>
              <w:pStyle w:val="Bodytext1"/>
              <w:numPr>
                <w:ilvl w:val="0"/>
                <w:numId w:val="5"/>
              </w:numPr>
              <w:shd w:val="clear" w:color="auto" w:fill="auto"/>
              <w:tabs>
                <w:tab w:val="left" w:pos="970"/>
              </w:tabs>
              <w:spacing w:before="0" w:line="385" w:lineRule="exact"/>
              <w:ind w:left="20" w:right="4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Նախագծի</w:t>
            </w:r>
            <w:r w:rsidRPr="0039342B">
              <w:rPr>
                <w:rFonts w:ascii="GHEA Grapalat" w:hAnsi="GHEA Grapalat"/>
                <w:lang w:val="af-ZA"/>
              </w:rPr>
              <w:t xml:space="preserve"> 2-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>' «</w:t>
            </w:r>
            <w:r w:rsidRPr="0039342B">
              <w:rPr>
                <w:rFonts w:ascii="GHEA Grapalat" w:hAnsi="GHEA Grapalat"/>
              </w:rPr>
              <w:t>Հոդված</w:t>
            </w:r>
            <w:r w:rsidRPr="0039342B">
              <w:rPr>
                <w:rFonts w:ascii="GHEA Grapalat" w:hAnsi="GHEA Grapalat"/>
                <w:lang w:val="af-ZA"/>
              </w:rPr>
              <w:t xml:space="preserve"> 112.1»</w:t>
            </w:r>
            <w:r w:rsidRPr="0039342B">
              <w:rPr>
                <w:rFonts w:ascii="GHEA Grapalat" w:hAnsi="GHEA Grapalat"/>
              </w:rPr>
              <w:t>֊ի</w:t>
            </w:r>
            <w:r w:rsidRPr="0039342B">
              <w:rPr>
                <w:rFonts w:ascii="GHEA Grapalat" w:hAnsi="GHEA Grapalat"/>
                <w:lang w:val="af-ZA"/>
              </w:rPr>
              <w:t xml:space="preserve"> 2-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դրույթներն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անընդունելի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դրանք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հանել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Նախագծից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117062" w:rsidRPr="0039342B" w:rsidRDefault="00117062" w:rsidP="00117062">
            <w:pPr>
              <w:pStyle w:val="Bodytext1"/>
              <w:shd w:val="clear" w:color="auto" w:fill="auto"/>
              <w:spacing w:before="0" w:line="385" w:lineRule="exact"/>
              <w:ind w:left="20" w:right="4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Այս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առումով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հարկ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նկատի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ունենալ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144-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հոդվածի</w:t>
            </w:r>
            <w:r w:rsidRPr="0039342B">
              <w:rPr>
                <w:rFonts w:ascii="GHEA Grapalat" w:hAnsi="GHEA Grapalat"/>
                <w:lang w:val="af-ZA"/>
              </w:rPr>
              <w:t xml:space="preserve"> 3-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համաձայն</w:t>
            </w:r>
            <w:r w:rsidRPr="0039342B">
              <w:rPr>
                <w:rFonts w:ascii="GHEA Grapalat" w:hAnsi="GHEA Grapalat"/>
                <w:lang w:val="af-ZA"/>
              </w:rPr>
              <w:t>' «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քննության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ընթացքում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լուծում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պահանջող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հարցերով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կայացված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Style w:val="Bodytext115ptItalicSpacing-1pt"/>
                <w:rFonts w:ascii="GHEA Grapalat" w:hAnsi="GHEA Grapalat"/>
                <w:sz w:val="22"/>
                <w:szCs w:val="22"/>
              </w:rPr>
              <w:t>այն որոշումները, որոնք ենթակա չեն բողոքարկման, կայացվում են առանց առանձին ակտի ձևով այն ձևակերպեչա: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հրապարակվում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բանավոր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ներառվում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արձանագրության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մեջ</w:t>
            </w:r>
            <w:r w:rsidRPr="0039342B">
              <w:rPr>
                <w:rFonts w:ascii="GHEA Grapalat" w:hAnsi="GHEA Grapalat"/>
                <w:lang w:val="af-ZA"/>
              </w:rPr>
              <w:t>»:</w:t>
            </w:r>
          </w:p>
          <w:p w:rsidR="00117062" w:rsidRPr="0039342B" w:rsidRDefault="00117062" w:rsidP="00117062">
            <w:pPr>
              <w:pStyle w:val="Bodytext1"/>
              <w:shd w:val="clear" w:color="auto" w:fill="auto"/>
              <w:spacing w:before="0" w:line="385" w:lineRule="exact"/>
              <w:ind w:left="20" w:right="4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lastRenderedPageBreak/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կողմից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առանձին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ակտի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ձևով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կայացնելու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վերաբերյալ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սահմանված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իմպերատիվ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պահանջը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կարծում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ենք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ուղղակի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հակասության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մեջ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մտնում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144-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հոդվածի</w:t>
            </w:r>
            <w:r w:rsidRPr="0039342B">
              <w:rPr>
                <w:rFonts w:ascii="GHEA Grapalat" w:hAnsi="GHEA Grapalat"/>
                <w:lang w:val="af-ZA"/>
              </w:rPr>
              <w:t xml:space="preserve"> 3-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պարզ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պատճառով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ենթակա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բողոքարկման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ինչպես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գործող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Օրենսգրքով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այնպես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առաջարկվող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լուծումների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պայմաննեյտւմ</w:t>
            </w:r>
            <w:r w:rsidRPr="0039342B">
              <w:rPr>
                <w:rFonts w:ascii="GHEA Grapalat" w:hAnsi="GHEA Grapalat"/>
                <w:lang w:val="af-ZA"/>
              </w:rPr>
              <w:t xml:space="preserve">: </w:t>
            </w:r>
            <w:r w:rsidRPr="0039342B">
              <w:rPr>
                <w:rFonts w:ascii="GHEA Grapalat" w:hAnsi="GHEA Grapalat"/>
              </w:rPr>
              <w:t>Միաժամանակ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կարծում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ենք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հիշյալ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աոանձին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ակտի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ձևով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կայացնելն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մեջ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պարունակում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առավել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արդյունավետ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տարրեր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որևէ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կերպ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նպաստում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արդարադատության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իրականացմանը</w:t>
            </w:r>
            <w:r w:rsidRPr="0039342B">
              <w:rPr>
                <w:rFonts w:ascii="GHEA Grapalat" w:hAnsi="GHEA Grapalat"/>
                <w:lang w:val="af-ZA"/>
              </w:rPr>
              <w:t xml:space="preserve">: </w:t>
            </w:r>
            <w:r w:rsidRPr="0039342B">
              <w:rPr>
                <w:rFonts w:ascii="GHEA Grapalat" w:hAnsi="GHEA Grapalat"/>
              </w:rPr>
              <w:t>Հետևաբար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բացակայում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կողմից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առանձին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ակտի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ձևով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կայացնելու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անհրաժեշտությունը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117062" w:rsidRPr="0039342B" w:rsidRDefault="00117062" w:rsidP="00117062">
            <w:pPr>
              <w:pStyle w:val="Bodytext1"/>
              <w:shd w:val="clear" w:color="auto" w:fill="auto"/>
              <w:spacing w:before="0" w:line="385" w:lineRule="exact"/>
              <w:ind w:left="20" w:right="4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Բացի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այդ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հարկ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նշել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Նախագծի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հիմնսւվորումներում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առկա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չէ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կողմից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կայացվող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առանձին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ակտի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տեսքով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ձևակերպելու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վերաբերյալ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որևէ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հիմնավորում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117062" w:rsidRPr="0039342B" w:rsidRDefault="00117062" w:rsidP="00117062">
            <w:pPr>
              <w:pStyle w:val="Bodytext1"/>
              <w:shd w:val="clear" w:color="auto" w:fill="auto"/>
              <w:spacing w:before="0" w:line="385" w:lineRule="exact"/>
              <w:ind w:left="20" w:right="40" w:firstLine="66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lastRenderedPageBreak/>
              <w:t>Վերոգրյալի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լույսի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ներքո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առարկայազուրկ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դառնում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նույն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հոդվածի</w:t>
            </w:r>
            <w:r w:rsidRPr="0039342B">
              <w:rPr>
                <w:rFonts w:ascii="GHEA Grapalat" w:hAnsi="GHEA Grapalat"/>
                <w:lang w:val="af-ZA"/>
              </w:rPr>
              <w:t xml:space="preserve"> 3-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մասը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քանի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վերանում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նաև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անցկացնելու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որոշումը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դատարանի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նախաձեռնությամբ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պատշաճ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ձևով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գործին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մասնակցող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անձանց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ուղարկելու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անհրաժեշտությունը</w:t>
            </w:r>
            <w:r w:rsidRPr="0039342B">
              <w:rPr>
                <w:rFonts w:ascii="GHEA Grapalat" w:hAnsi="GHEA Grapalat"/>
                <w:lang w:val="af-ZA"/>
              </w:rPr>
              <w:t xml:space="preserve">: </w:t>
            </w:r>
            <w:r w:rsidRPr="0039342B">
              <w:rPr>
                <w:rFonts w:ascii="GHEA Grapalat" w:hAnsi="GHEA Grapalat"/>
              </w:rPr>
              <w:t>Ավելին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դրանով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որոշ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դրույթներ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արդեն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իսկ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են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118-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հոդվածի</w:t>
            </w:r>
            <w:r w:rsidRPr="0039342B">
              <w:rPr>
                <w:rFonts w:ascii="GHEA Grapalat" w:hAnsi="GHEA Grapalat"/>
                <w:lang w:val="af-ZA"/>
              </w:rPr>
              <w:t xml:space="preserve"> 2-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մասում</w:t>
            </w:r>
            <w:r w:rsidRPr="0039342B">
              <w:rPr>
                <w:rFonts w:ascii="GHEA Grapalat" w:hAnsi="GHEA Grapalat"/>
                <w:lang w:val="af-ZA"/>
              </w:rPr>
              <w:t>:</w:t>
            </w:r>
          </w:p>
          <w:p w:rsidR="00697863" w:rsidRPr="0039342B" w:rsidRDefault="00697863" w:rsidP="00044B4C">
            <w:pPr>
              <w:spacing w:line="360" w:lineRule="auto"/>
              <w:jc w:val="both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102" w:type="dxa"/>
          </w:tcPr>
          <w:p w:rsidR="00697863" w:rsidRPr="0039342B" w:rsidRDefault="00117062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Չի ընդունվել </w:t>
            </w:r>
            <w:r w:rsidR="00BA1325" w:rsidRPr="0039342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5218" w:type="dxa"/>
          </w:tcPr>
          <w:p w:rsidR="00697863" w:rsidRPr="0039342B" w:rsidRDefault="00117062" w:rsidP="00117062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Նախագծով առաջարկվել է փոփոխել 144-րդ հոդվածի 3-րդ մասը` այն շարադրելով հետևալ ձևակերպմամբ, 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ատական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քննության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լուծում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պահանջող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հարցերով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կայացված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որոշումները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ենթակա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բողոքարկման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>դա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softHyphen/>
              <w:t>տա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softHyphen/>
              <w:t xml:space="preserve">րանի հայեցողությամբ </w:t>
            </w:r>
            <w:r w:rsidRPr="0039342B">
              <w:rPr>
                <w:rFonts w:ascii="GHEA Grapalat" w:hAnsi="GHEA Grapalat"/>
                <w:sz w:val="22"/>
                <w:szCs w:val="22"/>
              </w:rPr>
              <w:t>կարող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են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ընդունվել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առանձին ակտի ձևով, կամ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ակտի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ձևակերպելու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: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ակտի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ձևով</w:t>
            </w:r>
            <w:r w:rsidRPr="0039342B">
              <w:rPr>
                <w:rFonts w:ascii="GHEA Grapalat" w:hAnsi="GHEA Grapalat"/>
                <w:sz w:val="22"/>
                <w:szCs w:val="22"/>
                <w:lang w:val="de-DE"/>
              </w:rPr>
              <w:t xml:space="preserve"> չ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ձևակերպված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որոշումը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հրապարակվում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բանավոր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ներառվում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lastRenderedPageBreak/>
              <w:t>դատական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նիստի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արձանագրության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117062" w:rsidRPr="0039342B" w:rsidRDefault="00117062" w:rsidP="00117062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Դրանով պայմանավորված լուծվել է 144-րդ հոդվածի հետ հնարավոր հակասությունը, սակայն անհրաժեշտ է նշել, որ ներկա իրավակիրառ պրակտիկայի ուսումնասիրությունից բխում է, որ դատարանի կողմից մի շարք որոշումներ(ապացույցներ պահանջելը, փորձաքննություն նշանակել) միշտ կայացվում են առանձին ակտի ձևով:</w:t>
            </w:r>
          </w:p>
          <w:p w:rsidR="00117062" w:rsidRPr="0039342B" w:rsidRDefault="00117062" w:rsidP="00117062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 w:cs="Sylfaen"/>
                <w:sz w:val="22"/>
                <w:szCs w:val="22"/>
                <w:lang w:val="af-ZA"/>
              </w:rPr>
              <w:t>Ինչ վերաբերում է դատական նիստը արտագնա անցկացնելու մասին դատարանի որոշման, ապա այն պետք է միշտ կայացվի առանձին ակտի ձևով, քանի որ դատական նիստի արտագնա անցկացնելու մասին դատարանի որշումը լրացուցիչ հիմնավորման կարիք ունի, ինչը պետք է ներկայացվի դատարանի առանձին ակտի ձևով կայացված որոշման մեջ:</w:t>
            </w:r>
          </w:p>
        </w:tc>
      </w:tr>
      <w:tr w:rsidR="00697863" w:rsidRPr="00C70732" w:rsidTr="00044B4C">
        <w:trPr>
          <w:trHeight w:val="1243"/>
        </w:trPr>
        <w:tc>
          <w:tcPr>
            <w:tcW w:w="2453" w:type="dxa"/>
          </w:tcPr>
          <w:p w:rsidR="00697863" w:rsidRPr="0039342B" w:rsidRDefault="00697863" w:rsidP="00697863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ՀՀ վճռաբեկ դատարան</w:t>
            </w:r>
          </w:p>
        </w:tc>
        <w:tc>
          <w:tcPr>
            <w:tcW w:w="5578" w:type="dxa"/>
          </w:tcPr>
          <w:p w:rsidR="00BA1325" w:rsidRPr="0039342B" w:rsidRDefault="00BA1325" w:rsidP="00BA1325">
            <w:pPr>
              <w:pStyle w:val="Bodytext1"/>
              <w:shd w:val="clear" w:color="auto" w:fill="auto"/>
              <w:tabs>
                <w:tab w:val="left" w:pos="999"/>
              </w:tabs>
              <w:spacing w:before="0" w:line="385" w:lineRule="exact"/>
              <w:ind w:right="20"/>
              <w:jc w:val="both"/>
              <w:rPr>
                <w:rFonts w:ascii="GHEA Grapalat" w:hAnsi="GHEA Grapalat"/>
                <w:lang w:val="af-ZA"/>
              </w:rPr>
            </w:pPr>
            <w:r w:rsidRPr="0039342B">
              <w:rPr>
                <w:rFonts w:ascii="GHEA Grapalat" w:hAnsi="GHEA Grapalat"/>
              </w:rPr>
              <w:t>Նախագծի</w:t>
            </w:r>
            <w:r w:rsidRPr="0039342B">
              <w:rPr>
                <w:rFonts w:ascii="GHEA Grapalat" w:hAnsi="GHEA Grapalat"/>
                <w:lang w:val="af-ZA"/>
              </w:rPr>
              <w:t xml:space="preserve"> 2-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նախատեսված</w:t>
            </w:r>
            <w:r w:rsidRPr="0039342B">
              <w:rPr>
                <w:rFonts w:ascii="GHEA Grapalat" w:hAnsi="GHEA Grapalat"/>
                <w:lang w:val="af-ZA"/>
              </w:rPr>
              <w:t>' «</w:t>
            </w:r>
            <w:r w:rsidRPr="0039342B">
              <w:rPr>
                <w:rFonts w:ascii="GHEA Grapalat" w:hAnsi="GHEA Grapalat"/>
              </w:rPr>
              <w:t>Հոդված</w:t>
            </w:r>
            <w:r w:rsidRPr="0039342B">
              <w:rPr>
                <w:rFonts w:ascii="GHEA Grapalat" w:hAnsi="GHEA Grapalat"/>
                <w:lang w:val="af-ZA"/>
              </w:rPr>
              <w:t xml:space="preserve"> 112.1»</w:t>
            </w:r>
            <w:r w:rsidRPr="0039342B">
              <w:rPr>
                <w:rFonts w:ascii="GHEA Grapalat" w:hAnsi="GHEA Grapalat"/>
              </w:rPr>
              <w:t>֊ի</w:t>
            </w:r>
            <w:r w:rsidRPr="0039342B">
              <w:rPr>
                <w:rFonts w:ascii="GHEA Grapalat" w:hAnsi="GHEA Grapalat"/>
                <w:lang w:val="af-ZA"/>
              </w:rPr>
              <w:t xml:space="preserve"> 5-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վերաբերյալ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նկատի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ունենաս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համար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միայն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112-120-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հոդվածների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կանոններն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առանձնացնելն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առանց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կարգավորման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թողնում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շարք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հարցեր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օրինակ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ապացույցի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գտնվելու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վայրում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ընթացքում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ապացույցի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հետազոտմանն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ուղղված</w:t>
            </w:r>
            <w:r w:rsidRPr="0039342B">
              <w:rPr>
                <w:rFonts w:ascii="GHEA Grapalat" w:hAnsi="GHEA Grapalat"/>
                <w:lang w:val="af-ZA"/>
              </w:rPr>
              <w:t xml:space="preserve">' </w:t>
            </w:r>
            <w:r w:rsidRPr="0039342B">
              <w:rPr>
                <w:rFonts w:ascii="GHEA Grapalat" w:hAnsi="GHEA Grapalat"/>
              </w:rPr>
              <w:t>գործին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մասնակցող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անձի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միջնորդության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լուծումը</w:t>
            </w:r>
            <w:r w:rsidRPr="0039342B">
              <w:rPr>
                <w:rFonts w:ascii="GHEA Grapalat" w:hAnsi="GHEA Grapalat"/>
                <w:lang w:val="af-ZA"/>
              </w:rPr>
              <w:t xml:space="preserve">, </w:t>
            </w:r>
            <w:r w:rsidRPr="0039342B">
              <w:rPr>
                <w:rFonts w:ascii="GHEA Grapalat" w:hAnsi="GHEA Grapalat"/>
              </w:rPr>
              <w:t>որը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պետք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կարգավորվի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Օրենսգրքի</w:t>
            </w:r>
            <w:r w:rsidRPr="0039342B">
              <w:rPr>
                <w:rFonts w:ascii="GHEA Grapalat" w:hAnsi="GHEA Grapalat"/>
                <w:lang w:val="af-ZA"/>
              </w:rPr>
              <w:t xml:space="preserve"> 123-</w:t>
            </w:r>
            <w:r w:rsidRPr="0039342B">
              <w:rPr>
                <w:rFonts w:ascii="GHEA Grapalat" w:hAnsi="GHEA Grapalat"/>
              </w:rPr>
              <w:t>րդ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հոդվածով</w:t>
            </w:r>
            <w:r w:rsidRPr="0039342B">
              <w:rPr>
                <w:rFonts w:ascii="GHEA Grapalat" w:hAnsi="GHEA Grapalat"/>
                <w:lang w:val="af-ZA"/>
              </w:rPr>
              <w:t xml:space="preserve">: </w:t>
            </w:r>
            <w:r w:rsidRPr="0039342B">
              <w:rPr>
                <w:rFonts w:ascii="GHEA Grapalat" w:hAnsi="GHEA Grapalat"/>
              </w:rPr>
              <w:t>Այս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կապակցությամբ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հիշյալ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մասն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անհրաժեշտ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շարադրել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հետևյալ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խմբագրությամբ</w:t>
            </w:r>
            <w:r w:rsidRPr="0039342B">
              <w:rPr>
                <w:rFonts w:ascii="GHEA Grapalat" w:hAnsi="GHEA Grapalat"/>
                <w:lang w:val="af-ZA"/>
              </w:rPr>
              <w:t xml:space="preserve">. «5. </w:t>
            </w:r>
            <w:r w:rsidRPr="0039342B">
              <w:rPr>
                <w:rFonts w:ascii="GHEA Grapalat" w:hAnsi="GHEA Grapalat"/>
              </w:rPr>
              <w:t>Արտագնա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անցկացվում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է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դատական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նիստի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անցկացման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lastRenderedPageBreak/>
              <w:t>համար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սույն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օրենսգրքով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սահմանված</w:t>
            </w:r>
            <w:r w:rsidRPr="0039342B">
              <w:rPr>
                <w:rFonts w:ascii="GHEA Grapalat" w:hAnsi="GHEA Grapalat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</w:rPr>
              <w:t>կանոններով</w:t>
            </w:r>
            <w:r w:rsidRPr="0039342B">
              <w:rPr>
                <w:rFonts w:ascii="GHEA Grapalat" w:hAnsi="GHEA Grapalat"/>
                <w:lang w:val="af-ZA"/>
              </w:rPr>
              <w:t>»:</w:t>
            </w:r>
          </w:p>
          <w:p w:rsidR="00697863" w:rsidRPr="0039342B" w:rsidRDefault="00697863" w:rsidP="00044B4C">
            <w:pPr>
              <w:spacing w:line="360" w:lineRule="auto"/>
              <w:jc w:val="both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102" w:type="dxa"/>
          </w:tcPr>
          <w:p w:rsidR="00697863" w:rsidRPr="0039342B" w:rsidRDefault="00BA1325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</w:t>
            </w:r>
            <w:r w:rsidR="00C70732">
              <w:rPr>
                <w:rFonts w:ascii="GHEA Grapalat" w:hAnsi="GHEA Grapalat"/>
                <w:sz w:val="22"/>
                <w:szCs w:val="22"/>
                <w:lang w:val="af-ZA"/>
              </w:rPr>
              <w:t>ւ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նվել է:</w:t>
            </w:r>
          </w:p>
        </w:tc>
        <w:tc>
          <w:tcPr>
            <w:tcW w:w="5218" w:type="dxa"/>
          </w:tcPr>
          <w:p w:rsidR="00697863" w:rsidRPr="0039342B" w:rsidRDefault="00BA1325" w:rsidP="00BA1325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112.1-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մասը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շարադրվել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  <w:lang w:val="en-US"/>
              </w:rPr>
              <w:t>խմբագրությամբ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.&lt;&lt;</w:t>
            </w:r>
            <w:r w:rsidRPr="0039342B">
              <w:rPr>
                <w:rFonts w:ascii="GHEA Grapalat" w:hAnsi="GHEA Grapalat"/>
                <w:sz w:val="22"/>
                <w:szCs w:val="22"/>
              </w:rPr>
              <w:t>Արտագնա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դատական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նիստն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անցկացվում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է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դատական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նիստի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անցկացման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սույն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օրենսգրքով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կանոններին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342B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39342B">
              <w:rPr>
                <w:rFonts w:ascii="GHEA Grapalat" w:hAnsi="GHEA Grapalat"/>
                <w:sz w:val="22"/>
                <w:szCs w:val="22"/>
                <w:lang w:val="af-ZA"/>
              </w:rPr>
              <w:t>&gt;&gt;:</w:t>
            </w:r>
          </w:p>
        </w:tc>
      </w:tr>
    </w:tbl>
    <w:p w:rsidR="00697863" w:rsidRPr="0039342B" w:rsidRDefault="00697863" w:rsidP="00697863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697863" w:rsidRPr="0039342B" w:rsidRDefault="00697863" w:rsidP="00697863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697863" w:rsidRPr="0039342B" w:rsidRDefault="00697863" w:rsidP="00697863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697863" w:rsidRPr="0039342B" w:rsidRDefault="00697863" w:rsidP="00697863">
      <w:pPr>
        <w:rPr>
          <w:rFonts w:ascii="GHEA Grapalat" w:hAnsi="GHEA Grapalat"/>
          <w:sz w:val="22"/>
          <w:szCs w:val="22"/>
          <w:lang w:val="af-ZA"/>
        </w:rPr>
      </w:pPr>
    </w:p>
    <w:p w:rsidR="00697863" w:rsidRPr="0039342B" w:rsidRDefault="00697863" w:rsidP="00697863">
      <w:pPr>
        <w:rPr>
          <w:rFonts w:ascii="GHEA Grapalat" w:hAnsi="GHEA Grapalat"/>
          <w:sz w:val="22"/>
          <w:szCs w:val="22"/>
          <w:lang w:val="af-ZA"/>
        </w:rPr>
      </w:pPr>
    </w:p>
    <w:p w:rsidR="00697863" w:rsidRPr="0039342B" w:rsidRDefault="00697863" w:rsidP="00697863">
      <w:pPr>
        <w:rPr>
          <w:rFonts w:ascii="GHEA Grapalat" w:hAnsi="GHEA Grapalat"/>
          <w:sz w:val="22"/>
          <w:szCs w:val="22"/>
          <w:lang w:val="af-ZA"/>
        </w:rPr>
      </w:pPr>
    </w:p>
    <w:p w:rsidR="009D7D11" w:rsidRPr="0039342B" w:rsidRDefault="009D7D11">
      <w:pPr>
        <w:rPr>
          <w:rFonts w:ascii="GHEA Grapalat" w:hAnsi="GHEA Grapalat"/>
          <w:sz w:val="22"/>
          <w:szCs w:val="22"/>
          <w:lang w:val="af-ZA"/>
        </w:rPr>
      </w:pPr>
    </w:p>
    <w:sectPr w:rsidR="009D7D11" w:rsidRPr="0039342B" w:rsidSect="008A1E25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98C"/>
    <w:multiLevelType w:val="hybridMultilevel"/>
    <w:tmpl w:val="BFF0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0111"/>
    <w:multiLevelType w:val="hybridMultilevel"/>
    <w:tmpl w:val="12E2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1086"/>
    <w:multiLevelType w:val="multilevel"/>
    <w:tmpl w:val="5900E3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77328F"/>
    <w:multiLevelType w:val="multilevel"/>
    <w:tmpl w:val="5900E3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7F4F48"/>
    <w:multiLevelType w:val="hybridMultilevel"/>
    <w:tmpl w:val="84FC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317B8"/>
    <w:multiLevelType w:val="hybridMultilevel"/>
    <w:tmpl w:val="443C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97863"/>
    <w:rsid w:val="0005664B"/>
    <w:rsid w:val="0009491B"/>
    <w:rsid w:val="00117062"/>
    <w:rsid w:val="00205992"/>
    <w:rsid w:val="0039342B"/>
    <w:rsid w:val="00697863"/>
    <w:rsid w:val="00705958"/>
    <w:rsid w:val="009D293A"/>
    <w:rsid w:val="009D7D11"/>
    <w:rsid w:val="00BA1325"/>
    <w:rsid w:val="00C525F9"/>
    <w:rsid w:val="00C7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86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rsid w:val="00697863"/>
    <w:rPr>
      <w:rFonts w:ascii="Arial Armenian" w:hAnsi="Arial Armenian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9786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1">
    <w:name w:val="Body Text Char1"/>
    <w:basedOn w:val="DefaultParagraphFont"/>
    <w:link w:val="BodyText"/>
    <w:rsid w:val="00697863"/>
    <w:rPr>
      <w:rFonts w:ascii="Times Armenian" w:hAnsi="Times Armenian" w:cs="Times Armenian"/>
      <w:sz w:val="24"/>
      <w:szCs w:val="24"/>
    </w:rPr>
  </w:style>
  <w:style w:type="paragraph" w:customStyle="1" w:styleId="yiv69441412msonormal">
    <w:name w:val="yiv69441412msonormal"/>
    <w:basedOn w:val="Normal"/>
    <w:rsid w:val="0069786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69786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style-span">
    <w:name w:val="apple-style-span"/>
    <w:basedOn w:val="DefaultParagraphFont"/>
    <w:uiPriority w:val="99"/>
    <w:rsid w:val="0069786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97863"/>
    <w:rPr>
      <w:rFonts w:cs="Times New Roman"/>
    </w:rPr>
  </w:style>
  <w:style w:type="paragraph" w:customStyle="1" w:styleId="a">
    <w:name w:val="Абзац списка"/>
    <w:basedOn w:val="Normal"/>
    <w:uiPriority w:val="99"/>
    <w:rsid w:val="00697863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978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7863"/>
    <w:rPr>
      <w:b/>
      <w:bCs/>
    </w:rPr>
  </w:style>
  <w:style w:type="character" w:customStyle="1" w:styleId="Bodytext0">
    <w:name w:val="Body text_"/>
    <w:basedOn w:val="DefaultParagraphFont"/>
    <w:link w:val="Bodytext1"/>
    <w:rsid w:val="00697863"/>
    <w:rPr>
      <w:rFonts w:ascii="Sylfaen" w:eastAsia="Sylfaen" w:hAnsi="Sylfaen" w:cs="Sylfaen"/>
      <w:sz w:val="22"/>
      <w:szCs w:val="22"/>
      <w:shd w:val="clear" w:color="auto" w:fill="FFFFFF"/>
    </w:rPr>
  </w:style>
  <w:style w:type="paragraph" w:customStyle="1" w:styleId="Bodytext1">
    <w:name w:val="Body text"/>
    <w:basedOn w:val="Normal"/>
    <w:link w:val="Bodytext0"/>
    <w:rsid w:val="00697863"/>
    <w:pPr>
      <w:widowControl w:val="0"/>
      <w:shd w:val="clear" w:color="auto" w:fill="FFFFFF"/>
      <w:autoSpaceDE/>
      <w:autoSpaceDN/>
      <w:adjustRightInd/>
      <w:spacing w:before="180" w:line="522" w:lineRule="exact"/>
    </w:pPr>
    <w:rPr>
      <w:rFonts w:ascii="Sylfaen" w:eastAsia="Sylfaen" w:hAnsi="Sylfaen" w:cs="Sylfaen"/>
      <w:sz w:val="22"/>
      <w:szCs w:val="22"/>
    </w:rPr>
  </w:style>
  <w:style w:type="character" w:customStyle="1" w:styleId="Bodytext115ptItalicSpacing-1pt">
    <w:name w:val="Body text + 11;5 pt;Italic;Spacing -1 pt"/>
    <w:basedOn w:val="Bodytext0"/>
    <w:rsid w:val="00117062"/>
    <w:rPr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68754-307F-4BE6-A88E-A8300E31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6</cp:revision>
  <dcterms:created xsi:type="dcterms:W3CDTF">2012-12-04T15:36:00Z</dcterms:created>
  <dcterms:modified xsi:type="dcterms:W3CDTF">2012-12-06T08:11:00Z</dcterms:modified>
</cp:coreProperties>
</file>