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99" w:rsidRPr="003323EE" w:rsidRDefault="003C7299" w:rsidP="003C7299">
      <w:pPr>
        <w:tabs>
          <w:tab w:val="left" w:pos="336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3323E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32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323E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3C7299" w:rsidRPr="003323EE" w:rsidRDefault="003C7299" w:rsidP="003C729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323EE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3C7299" w:rsidRPr="003323EE" w:rsidRDefault="003C7299" w:rsidP="003C729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323EE">
        <w:rPr>
          <w:rFonts w:ascii="GHEA Grapalat" w:hAnsi="GHEA Grapalat" w:cs="Sylfaen"/>
          <w:b/>
          <w:sz w:val="24"/>
          <w:szCs w:val="24"/>
        </w:rPr>
        <w:t></w:t>
      </w:r>
      <w:r>
        <w:rPr>
          <w:rFonts w:ascii="GHEA Grapalat" w:hAnsi="GHEA Grapalat" w:cs="Sylfaen"/>
          <w:b/>
          <w:sz w:val="24"/>
          <w:szCs w:val="24"/>
        </w:rPr>
        <w:t>ՀԱՆՐԱՅԻՆ ԾԱՌԱՅՈՒԹՅԱՆ</w:t>
      </w:r>
      <w:r w:rsidRPr="003323EE">
        <w:rPr>
          <w:rFonts w:ascii="GHEA Grapalat" w:hAnsi="GHEA Grapalat" w:cs="Sylfaen"/>
          <w:b/>
          <w:sz w:val="24"/>
          <w:szCs w:val="24"/>
        </w:rPr>
        <w:t xml:space="preserve"> ՄԱՍԻՆ ՕՐԵՆՔՈՒՄ</w:t>
      </w:r>
      <w:r w:rsidRPr="00332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323EE">
        <w:rPr>
          <w:rFonts w:ascii="GHEA Grapalat" w:hAnsi="GHEA Grapalat"/>
          <w:b/>
          <w:sz w:val="24"/>
          <w:szCs w:val="24"/>
        </w:rPr>
        <w:t>ՓՈՓՈԽՈՒԹՅՈՒՆ</w:t>
      </w:r>
      <w:r w:rsidR="00203D64">
        <w:rPr>
          <w:rFonts w:ascii="GHEA Grapalat" w:hAnsi="GHEA Grapalat"/>
          <w:b/>
          <w:sz w:val="24"/>
          <w:szCs w:val="24"/>
        </w:rPr>
        <w:t>ՆԵՐ</w:t>
      </w:r>
      <w:r w:rsidR="00487387">
        <w:rPr>
          <w:rFonts w:ascii="GHEA Grapalat" w:hAnsi="GHEA Grapalat"/>
          <w:b/>
          <w:sz w:val="24"/>
          <w:szCs w:val="24"/>
        </w:rPr>
        <w:t xml:space="preserve"> </w:t>
      </w:r>
      <w:r w:rsidRPr="003323E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332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323E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3323EE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3C7299" w:rsidRDefault="003C7299" w:rsidP="003C7299">
      <w:pPr>
        <w:shd w:val="clear" w:color="auto" w:fill="FFFFFF"/>
        <w:tabs>
          <w:tab w:val="left" w:pos="9630"/>
        </w:tabs>
        <w:spacing w:after="0" w:line="360" w:lineRule="auto"/>
        <w:ind w:right="-32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3323EE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3323EE">
        <w:rPr>
          <w:rFonts w:ascii="GHEA Grapalat" w:hAnsi="GHEA Grapalat"/>
          <w:b/>
          <w:sz w:val="24"/>
          <w:szCs w:val="24"/>
          <w:lang w:val="hy-AM"/>
        </w:rPr>
        <w:t xml:space="preserve"> 1.</w:t>
      </w:r>
      <w:r w:rsidRPr="003323EE">
        <w:rPr>
          <w:rFonts w:ascii="GHEA Grapalat" w:hAnsi="GHEA Grapalat"/>
          <w:b/>
          <w:sz w:val="24"/>
          <w:szCs w:val="24"/>
        </w:rPr>
        <w:t xml:space="preserve"> 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>«</w:t>
      </w:r>
      <w:r>
        <w:rPr>
          <w:rFonts w:ascii="GHEA Grapalat" w:hAnsi="GHEA Grapalat" w:cs="Sylfaen"/>
          <w:bCs/>
          <w:color w:val="000000"/>
          <w:sz w:val="24"/>
          <w:szCs w:val="24"/>
        </w:rPr>
        <w:t>Հանրային ծառայության մասին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>» 20</w:t>
      </w:r>
      <w:r>
        <w:rPr>
          <w:rFonts w:ascii="GHEA Grapalat" w:hAnsi="GHEA Grapalat" w:cs="Sylfaen"/>
          <w:bCs/>
          <w:color w:val="000000"/>
          <w:sz w:val="24"/>
          <w:szCs w:val="24"/>
        </w:rPr>
        <w:t>18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3323EE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թվականի</w:t>
      </w:r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 մարտի 23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>-</w:t>
      </w:r>
      <w:r w:rsidRPr="003323EE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ի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3323EE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ՀՕ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>-</w:t>
      </w:r>
      <w:r>
        <w:rPr>
          <w:rFonts w:ascii="GHEA Grapalat" w:hAnsi="GHEA Grapalat" w:cs="Sylfaen"/>
          <w:bCs/>
          <w:color w:val="000000"/>
          <w:sz w:val="24"/>
          <w:szCs w:val="24"/>
        </w:rPr>
        <w:t>206</w:t>
      </w:r>
      <w:r w:rsidRPr="003323EE">
        <w:rPr>
          <w:rFonts w:ascii="GHEA Grapalat" w:hAnsi="GHEA Grapalat" w:cs="Sylfaen"/>
          <w:bCs/>
          <w:color w:val="000000"/>
          <w:sz w:val="24"/>
          <w:szCs w:val="24"/>
        </w:rPr>
        <w:t>-Ն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3323EE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օրենքի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 xml:space="preserve"> (</w:t>
      </w:r>
      <w:r w:rsidRPr="003323EE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այսուհետ՝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3323EE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Օրենք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>)</w:t>
      </w:r>
      <w:r w:rsidRPr="003323EE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</w:rPr>
        <w:t>54</w:t>
      </w:r>
      <w:r w:rsidRPr="003323EE">
        <w:rPr>
          <w:rFonts w:ascii="GHEA Grapalat" w:hAnsi="GHEA Grapalat" w:cs="Sylfaen"/>
          <w:bCs/>
          <w:color w:val="000000"/>
          <w:sz w:val="24"/>
          <w:szCs w:val="24"/>
        </w:rPr>
        <w:t xml:space="preserve">-րդ հոդվածի </w:t>
      </w:r>
      <w:r>
        <w:rPr>
          <w:rFonts w:ascii="GHEA Grapalat" w:hAnsi="GHEA Grapalat" w:cs="Sylfaen"/>
          <w:bCs/>
          <w:color w:val="000000"/>
          <w:sz w:val="24"/>
          <w:szCs w:val="24"/>
        </w:rPr>
        <w:t>4-րդ</w:t>
      </w:r>
      <w:r w:rsidRPr="003323EE">
        <w:rPr>
          <w:rFonts w:ascii="GHEA Grapalat" w:hAnsi="GHEA Grapalat" w:cs="Sylfaen"/>
          <w:bCs/>
          <w:color w:val="000000"/>
          <w:sz w:val="24"/>
          <w:szCs w:val="24"/>
        </w:rPr>
        <w:t xml:space="preserve"> մասում </w:t>
      </w:r>
      <w:r>
        <w:rPr>
          <w:rFonts w:ascii="GHEA Grapalat" w:hAnsi="GHEA Grapalat" w:cs="Sylfaen"/>
          <w:bCs/>
          <w:color w:val="000000"/>
          <w:sz w:val="24"/>
          <w:szCs w:val="24"/>
        </w:rPr>
        <w:t>2019</w:t>
      </w:r>
      <w:r w:rsidRPr="00BD316C">
        <w:rPr>
          <w:rFonts w:ascii="GHEA Grapalat" w:hAnsi="GHEA Grapalat" w:cs="Sylfaen"/>
          <w:bCs/>
          <w:color w:val="000000"/>
          <w:sz w:val="24"/>
          <w:szCs w:val="24"/>
        </w:rPr>
        <w:t xml:space="preserve"> </w:t>
      </w:r>
      <w:r w:rsidR="0002200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թիվը</w:t>
      </w:r>
      <w:r w:rsidR="00022009" w:rsidRPr="00BD316C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BD316C">
        <w:rPr>
          <w:rFonts w:ascii="GHEA Grapalat" w:hAnsi="GHEA Grapalat" w:cs="Sylfaen"/>
          <w:bCs/>
          <w:color w:val="000000"/>
          <w:sz w:val="24"/>
          <w:szCs w:val="24"/>
        </w:rPr>
        <w:t xml:space="preserve">փոխարինել 2020 </w:t>
      </w:r>
      <w:r w:rsidR="0002200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թվով</w:t>
      </w:r>
      <w:r w:rsidRPr="00BD316C">
        <w:rPr>
          <w:rFonts w:ascii="GHEA Grapalat" w:hAnsi="GHEA Grapalat" w:cs="Sylfaen"/>
          <w:bCs/>
          <w:color w:val="000000"/>
          <w:sz w:val="24"/>
          <w:szCs w:val="24"/>
        </w:rPr>
        <w:t>:</w:t>
      </w:r>
    </w:p>
    <w:p w:rsidR="008E2D98" w:rsidRPr="00BD316C" w:rsidRDefault="008E2D98" w:rsidP="003C7299">
      <w:pPr>
        <w:shd w:val="clear" w:color="auto" w:fill="FFFFFF"/>
        <w:tabs>
          <w:tab w:val="left" w:pos="9630"/>
        </w:tabs>
        <w:spacing w:after="0" w:line="360" w:lineRule="auto"/>
        <w:ind w:right="-32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203D64">
        <w:rPr>
          <w:rFonts w:ascii="GHEA Grapalat" w:hAnsi="GHEA Grapalat" w:cs="Sylfaen"/>
          <w:b/>
          <w:bCs/>
          <w:color w:val="000000"/>
          <w:sz w:val="24"/>
          <w:szCs w:val="24"/>
        </w:rPr>
        <w:t>Հոդված 2.</w:t>
      </w:r>
      <w:r w:rsidR="00692C73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="00D26979">
        <w:rPr>
          <w:rFonts w:ascii="GHEA Grapalat" w:hAnsi="GHEA Grapalat" w:cs="Sylfaen"/>
          <w:bCs/>
          <w:color w:val="000000"/>
          <w:sz w:val="24"/>
          <w:szCs w:val="24"/>
        </w:rPr>
        <w:t xml:space="preserve">Ուժը կորցրած ճանաչել </w:t>
      </w:r>
      <w:r w:rsidR="00A94D0F">
        <w:rPr>
          <w:rFonts w:ascii="GHEA Grapalat" w:hAnsi="GHEA Grapalat" w:cs="Sylfaen"/>
          <w:bCs/>
          <w:color w:val="000000"/>
          <w:sz w:val="24"/>
          <w:szCs w:val="24"/>
        </w:rPr>
        <w:t xml:space="preserve">Օրենքի </w:t>
      </w:r>
      <w:r w:rsidR="00530DAE">
        <w:rPr>
          <w:rFonts w:ascii="GHEA Grapalat" w:hAnsi="GHEA Grapalat" w:cs="Sylfaen"/>
          <w:bCs/>
          <w:color w:val="000000"/>
          <w:sz w:val="24"/>
          <w:szCs w:val="24"/>
        </w:rPr>
        <w:t>60-րդ հոդվածի 2-րդ մասը:</w:t>
      </w:r>
    </w:p>
    <w:p w:rsidR="003C7299" w:rsidRPr="003C7299" w:rsidRDefault="003C7299" w:rsidP="003C7299">
      <w:pPr>
        <w:spacing w:after="0" w:line="360" w:lineRule="auto"/>
        <w:ind w:right="-32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316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3C729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05A71">
        <w:rPr>
          <w:rFonts w:ascii="GHEA Grapalat" w:hAnsi="GHEA Grapalat" w:cs="Sylfaen"/>
          <w:b/>
          <w:sz w:val="24"/>
          <w:szCs w:val="24"/>
        </w:rPr>
        <w:t>3</w:t>
      </w:r>
      <w:r w:rsidRPr="00BD316C">
        <w:rPr>
          <w:rFonts w:ascii="GHEA Grapalat" w:hAnsi="GHEA Grapalat"/>
          <w:b/>
          <w:sz w:val="24"/>
          <w:szCs w:val="24"/>
          <w:lang w:val="hy-AM"/>
        </w:rPr>
        <w:t>.</w:t>
      </w:r>
      <w:r w:rsidRPr="003C72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7299">
        <w:rPr>
          <w:rFonts w:ascii="GHEA Grapalat" w:hAnsi="GHEA Grapalat"/>
          <w:b/>
          <w:sz w:val="24"/>
          <w:szCs w:val="24"/>
          <w:lang w:val="hy-AM"/>
        </w:rPr>
        <w:t>Եզրափակիչ մաս և անցումային դրույթներ</w:t>
      </w:r>
      <w:r w:rsidRPr="00BD316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36D92" w:rsidRPr="00A76C2F" w:rsidRDefault="003C7299" w:rsidP="00536D92">
      <w:pPr>
        <w:spacing w:after="0" w:line="360" w:lineRule="auto"/>
        <w:ind w:right="-32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B0B81">
        <w:rPr>
          <w:rFonts w:ascii="GHEA Grapalat" w:hAnsi="GHEA Grapalat" w:cs="Sylfaen"/>
          <w:sz w:val="24"/>
          <w:szCs w:val="24"/>
          <w:lang w:val="hy-AM"/>
        </w:rPr>
        <w:t>1.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B0B8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0B0B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B81"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3C7299">
        <w:rPr>
          <w:rFonts w:ascii="GHEA Grapalat" w:hAnsi="GHEA Grapalat" w:cs="Sylfaen"/>
          <w:sz w:val="24"/>
          <w:szCs w:val="24"/>
          <w:lang w:val="hy-AM"/>
        </w:rPr>
        <w:t>ն</w:t>
      </w:r>
      <w:r w:rsidRPr="000B0B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B81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0B0B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B81">
        <w:rPr>
          <w:rFonts w:ascii="GHEA Grapalat" w:hAnsi="GHEA Grapalat" w:cs="Sylfaen"/>
          <w:sz w:val="24"/>
          <w:szCs w:val="24"/>
          <w:lang w:val="hy-AM"/>
        </w:rPr>
        <w:t>մեջ</w:t>
      </w:r>
      <w:r w:rsidRPr="000B0B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B81">
        <w:rPr>
          <w:rFonts w:ascii="GHEA Grapalat" w:hAnsi="GHEA Grapalat" w:cs="Sylfaen"/>
          <w:sz w:val="24"/>
          <w:szCs w:val="24"/>
          <w:lang w:val="hy-AM"/>
        </w:rPr>
        <w:t>է</w:t>
      </w:r>
      <w:r w:rsidRPr="000B0B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B81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0B0B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7299">
        <w:rPr>
          <w:rFonts w:ascii="GHEA Grapalat" w:hAnsi="GHEA Grapalat"/>
          <w:sz w:val="24"/>
          <w:szCs w:val="24"/>
          <w:lang w:val="hy-AM"/>
        </w:rPr>
        <w:t xml:space="preserve">պաշտոնական հրապարակման հաջորդող օրը և կիրառվում է </w:t>
      </w:r>
      <w:r w:rsidRPr="00A76C2F">
        <w:rPr>
          <w:rFonts w:ascii="GHEA Grapalat" w:hAnsi="GHEA Grapalat"/>
          <w:sz w:val="24"/>
          <w:szCs w:val="24"/>
          <w:lang w:val="hy-AM"/>
        </w:rPr>
        <w:t>2019 թվականի հունվարի 1-ից:</w:t>
      </w:r>
    </w:p>
    <w:p w:rsidR="00536D92" w:rsidRPr="00536D92" w:rsidRDefault="00536D92" w:rsidP="00536D92">
      <w:pPr>
        <w:spacing w:after="0" w:line="360" w:lineRule="auto"/>
        <w:ind w:right="-32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76C2F">
        <w:rPr>
          <w:rFonts w:ascii="GHEA Grapalat" w:hAnsi="GHEA Grapalat"/>
          <w:sz w:val="24"/>
          <w:szCs w:val="24"/>
          <w:lang w:val="hy-AM"/>
        </w:rPr>
        <w:t>2. Օրենքի 54-րդ հոդվածի 4-րդ մասով նախատեսված «Հանրային ծառայության մասին» 2011 թվականի մայիսի 26-ի ՀՕ-172-Ն օրենքի 32-րդ հոդվածի 2-7-րդ մասերի, 32.1-37-րդ հոդվածների դրույթները</w:t>
      </w:r>
      <w:r w:rsidR="0083171C" w:rsidRPr="00A76C2F">
        <w:rPr>
          <w:rFonts w:ascii="GHEA Grapalat" w:hAnsi="GHEA Grapalat"/>
          <w:sz w:val="24"/>
          <w:szCs w:val="24"/>
          <w:lang w:val="hy-AM"/>
        </w:rPr>
        <w:t xml:space="preserve"> սույն օրենքի կիրառման պահից </w:t>
      </w:r>
      <w:r w:rsidRPr="00A76C2F">
        <w:rPr>
          <w:rFonts w:ascii="GHEA Grapalat" w:hAnsi="GHEA Grapalat"/>
          <w:sz w:val="24"/>
          <w:szCs w:val="24"/>
          <w:lang w:val="hy-AM"/>
        </w:rPr>
        <w:t xml:space="preserve">շարունակում են գործել մինչև </w:t>
      </w:r>
      <w:r w:rsidR="0083171C" w:rsidRPr="00A76C2F">
        <w:rPr>
          <w:rFonts w:ascii="GHEA Grapalat" w:hAnsi="GHEA Grapalat"/>
          <w:sz w:val="24"/>
          <w:szCs w:val="24"/>
          <w:lang w:val="hy-AM"/>
        </w:rPr>
        <w:t>2020 թվականի հունվարի 1-ը</w:t>
      </w:r>
      <w:r w:rsidRPr="00A76C2F">
        <w:rPr>
          <w:rFonts w:ascii="GHEA Grapalat" w:hAnsi="GHEA Grapalat"/>
          <w:sz w:val="24"/>
          <w:szCs w:val="24"/>
          <w:lang w:val="hy-AM"/>
        </w:rPr>
        <w:t>:</w:t>
      </w:r>
    </w:p>
    <w:p w:rsidR="00106D9A" w:rsidRPr="00C31E75" w:rsidRDefault="00110C8A" w:rsidP="00106D9A">
      <w:pPr>
        <w:spacing w:after="0" w:line="360" w:lineRule="auto"/>
        <w:ind w:right="-32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3C7299" w:rsidRPr="00110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Հայտարարատու պաշտոնատար անձինք</w:t>
      </w:r>
      <w:r w:rsid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նրանց ընտանիքի կազմի մեջ մտնող անձինք</w:t>
      </w:r>
      <w:r w:rsidR="003C7299" w:rsidRPr="009203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2018 թվականի տարեկան հայտարարագիր</w:t>
      </w:r>
      <w:r w:rsid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Բարձրաստիճան պաշտոնատար անձանց էթիկայի հանձնաժողով են</w:t>
      </w:r>
      <w:r w:rsidR="003C7299" w:rsidRPr="00252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ներկայացնում</w:t>
      </w:r>
      <w:r w:rsidR="003C7299" w:rsidRPr="00AE58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 2019 </w:t>
      </w:r>
      <w:r w:rsidR="003C7299" w:rsidRPr="00C31E75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A76C2F" w:rsidRPr="00C31E75">
        <w:rPr>
          <w:rFonts w:ascii="GHEA Grapalat" w:hAnsi="GHEA Grapalat"/>
          <w:sz w:val="24"/>
          <w:szCs w:val="24"/>
          <w:lang w:val="hy-AM"/>
        </w:rPr>
        <w:t xml:space="preserve">մայիսի </w:t>
      </w:r>
      <w:r w:rsidR="00D543E0" w:rsidRPr="00C31E75">
        <w:rPr>
          <w:rFonts w:ascii="GHEA Grapalat" w:hAnsi="GHEA Grapalat"/>
          <w:sz w:val="24"/>
          <w:szCs w:val="24"/>
          <w:lang w:val="hy-AM"/>
        </w:rPr>
        <w:t>31</w:t>
      </w:r>
      <w:r w:rsidR="003C7299" w:rsidRPr="00C31E75">
        <w:rPr>
          <w:rFonts w:ascii="GHEA Grapalat" w:hAnsi="GHEA Grapalat"/>
          <w:sz w:val="24"/>
          <w:szCs w:val="24"/>
          <w:lang w:val="hy-AM"/>
        </w:rPr>
        <w:t>-ը:</w:t>
      </w:r>
    </w:p>
    <w:p w:rsidR="00106D9A" w:rsidRPr="00C31E75" w:rsidRDefault="00106D9A" w:rsidP="00106D9A">
      <w:pPr>
        <w:spacing w:after="0" w:line="360" w:lineRule="auto"/>
        <w:ind w:right="-32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31E75">
        <w:rPr>
          <w:rFonts w:ascii="GHEA Grapalat" w:hAnsi="GHEA Grapalat"/>
          <w:sz w:val="24"/>
          <w:szCs w:val="24"/>
          <w:lang w:val="hy-AM"/>
        </w:rPr>
        <w:t>4. 2019</w:t>
      </w:r>
      <w:r w:rsidR="00837C2C" w:rsidRPr="00C31E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1E75">
        <w:rPr>
          <w:rFonts w:ascii="GHEA Grapalat" w:hAnsi="GHEA Grapalat"/>
          <w:sz w:val="24"/>
          <w:szCs w:val="24"/>
          <w:lang w:val="hy-AM"/>
        </w:rPr>
        <w:t>թ</w:t>
      </w:r>
      <w:r w:rsidR="00943DAB" w:rsidRPr="00C31E75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Pr="00C31E75">
        <w:rPr>
          <w:rFonts w:ascii="GHEA Grapalat" w:hAnsi="GHEA Grapalat"/>
          <w:sz w:val="24"/>
          <w:szCs w:val="24"/>
          <w:lang w:val="hy-AM"/>
        </w:rPr>
        <w:t xml:space="preserve">հունվարի </w:t>
      </w:r>
      <w:r w:rsidR="0025413C" w:rsidRPr="00C31E75">
        <w:rPr>
          <w:rFonts w:ascii="GHEA Grapalat" w:hAnsi="GHEA Grapalat"/>
          <w:sz w:val="24"/>
          <w:szCs w:val="24"/>
          <w:lang w:val="hy-AM"/>
        </w:rPr>
        <w:t xml:space="preserve">1-ից </w:t>
      </w:r>
      <w:r w:rsidRPr="00C31E75">
        <w:rPr>
          <w:rFonts w:ascii="GHEA Grapalat" w:hAnsi="GHEA Grapalat"/>
          <w:sz w:val="24"/>
          <w:szCs w:val="24"/>
          <w:lang w:val="hy-AM"/>
        </w:rPr>
        <w:t>մինչև սույն օրենք</w:t>
      </w:r>
      <w:r w:rsidR="00672C43" w:rsidRPr="00C31E75">
        <w:rPr>
          <w:rFonts w:ascii="GHEA Grapalat" w:hAnsi="GHEA Grapalat"/>
          <w:sz w:val="24"/>
          <w:szCs w:val="24"/>
          <w:lang w:val="hy-AM"/>
        </w:rPr>
        <w:t>ի</w:t>
      </w:r>
      <w:r w:rsidRPr="00C31E75">
        <w:rPr>
          <w:rFonts w:ascii="GHEA Grapalat" w:hAnsi="GHEA Grapalat"/>
          <w:sz w:val="24"/>
          <w:szCs w:val="24"/>
          <w:lang w:val="hy-AM"/>
        </w:rPr>
        <w:t xml:space="preserve"> ուժի մեջ մտնելու օրը </w:t>
      </w:r>
      <w:r w:rsidR="00672C43" w:rsidRPr="00C31E75">
        <w:rPr>
          <w:rFonts w:ascii="GHEA Grapalat" w:hAnsi="GHEA Grapalat"/>
          <w:sz w:val="24"/>
          <w:szCs w:val="24"/>
          <w:lang w:val="hy-AM"/>
        </w:rPr>
        <w:t xml:space="preserve">պաշտոնեական պարտականություններն ստանձնելու, դադարեցնելու </w:t>
      </w:r>
      <w:r w:rsidRPr="00C31E75">
        <w:rPr>
          <w:rFonts w:ascii="GHEA Grapalat" w:hAnsi="GHEA Grapalat"/>
          <w:sz w:val="24"/>
          <w:szCs w:val="24"/>
          <w:lang w:val="hy-AM"/>
        </w:rPr>
        <w:t xml:space="preserve">հայտարարագրերը </w:t>
      </w:r>
      <w:r w:rsidR="00C614BF" w:rsidRPr="00C31E75">
        <w:rPr>
          <w:rFonts w:ascii="GHEA Grapalat" w:hAnsi="GHEA Grapalat"/>
          <w:sz w:val="24"/>
          <w:szCs w:val="24"/>
          <w:lang w:val="hy-AM"/>
        </w:rPr>
        <w:t>Բ</w:t>
      </w:r>
      <w:r w:rsidRPr="00C31E75">
        <w:rPr>
          <w:rFonts w:ascii="GHEA Grapalat" w:hAnsi="GHEA Grapalat"/>
          <w:sz w:val="24"/>
          <w:szCs w:val="24"/>
          <w:lang w:val="hy-AM"/>
        </w:rPr>
        <w:t>արձրաստիճան պաշտոնատար անձանց էթիկայի հանձնաժողով են ներկայացվում</w:t>
      </w:r>
      <w:r w:rsidR="00C614BF" w:rsidRPr="00C31E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1E75">
        <w:rPr>
          <w:rFonts w:ascii="GHEA Grapalat" w:hAnsi="GHEA Grapalat"/>
          <w:sz w:val="24"/>
          <w:szCs w:val="24"/>
          <w:lang w:val="hy-AM"/>
        </w:rPr>
        <w:t>սույն օր</w:t>
      </w:r>
      <w:r w:rsidR="00FF4124" w:rsidRPr="00C31E75">
        <w:rPr>
          <w:rFonts w:ascii="GHEA Grapalat" w:hAnsi="GHEA Grapalat"/>
          <w:sz w:val="24"/>
          <w:szCs w:val="24"/>
          <w:lang w:val="hy-AM"/>
        </w:rPr>
        <w:t>են</w:t>
      </w:r>
      <w:r w:rsidRPr="00C31E75">
        <w:rPr>
          <w:rFonts w:ascii="GHEA Grapalat" w:hAnsi="GHEA Grapalat"/>
          <w:sz w:val="24"/>
          <w:szCs w:val="24"/>
          <w:lang w:val="hy-AM"/>
        </w:rPr>
        <w:t>ք</w:t>
      </w:r>
      <w:r w:rsidR="00FF4124" w:rsidRPr="00C31E75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C31E75">
        <w:rPr>
          <w:rFonts w:ascii="GHEA Grapalat" w:hAnsi="GHEA Grapalat"/>
          <w:sz w:val="24"/>
          <w:szCs w:val="24"/>
          <w:lang w:val="hy-AM"/>
        </w:rPr>
        <w:t>ուժի մեջ մտնելու պահից 30-օրյա ժամկետում</w:t>
      </w:r>
      <w:r w:rsidR="008C1C62" w:rsidRPr="00C31E75">
        <w:rPr>
          <w:rFonts w:ascii="GHEA Grapalat" w:hAnsi="GHEA Grapalat"/>
          <w:sz w:val="24"/>
          <w:szCs w:val="24"/>
          <w:lang w:val="hy-AM"/>
        </w:rPr>
        <w:t>:</w:t>
      </w:r>
    </w:p>
    <w:p w:rsidR="003C7299" w:rsidRPr="003C7299" w:rsidRDefault="00106D9A" w:rsidP="00106D9A">
      <w:pPr>
        <w:spacing w:after="0" w:line="360" w:lineRule="auto"/>
        <w:ind w:right="-32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6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5.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Կոռուպցիայի կանխարգելման հանձնաժողովի կազմավորումը </w:t>
      </w:r>
      <w:r w:rsidR="003C7299" w:rsidRPr="006831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«Հանրային ծառայության մասին» Հայաստանի Հանրապետության 2011 թվականի</w:t>
      </w:r>
      <w:r w:rsidR="003C7299"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299"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մայիսի 26-ի ՀՕ-172-Ն </w:t>
      </w:r>
      <w:r w:rsidR="00E75A68"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</w:t>
      </w:r>
      <w:r w:rsidR="00753BE1" w:rsidRPr="003830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6A2D1D" w:rsidRPr="00106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իմաստով </w:t>
      </w:r>
      <w:r w:rsidR="007634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Բարձրաստիճան </w:t>
      </w:r>
      <w:r w:rsidR="003C7299" w:rsidRPr="009479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պաշտոնատար անձ</w:t>
      </w:r>
      <w:r w:rsidR="00422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22C85" w:rsidRPr="00422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բառերի փոխարեն կարդալ. </w:t>
      </w:r>
      <w:r w:rsidR="00422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 Նախագահը, վարչապետը, Ազգային ժողովի պատգամավորները, Սահմանադրական դատարանի դատավորները, դատավորները, փոխվարչապետները</w:t>
      </w:r>
      <w:r w:rsidR="00D543E0" w:rsidRPr="00D543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543E0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նախարարները և նրանց տեղակալները, Հայաստանի Հանրապետության զինված ուժերի գլխավոր շտաբի պետը և նրա տեղակալները, գլխավոր դատախազը և նրա տեղակալները, մարզերի, Երևան քաղաքի և կայազորների դատախազները, Հայաստանի Հանրապետության քննչական կոմիտեի նախագահը և նրա տեղակալները, Հայաստանի Հանրապետության հատուկ քննչական ծառայության պետը և նրա տեղակալները,</w:t>
      </w:r>
      <w:r w:rsidR="003C7299" w:rsidRPr="003C7299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3C7299" w:rsidRPr="003C729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ինքնավար և անկախ պետական մարմինների ղեկավարները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նրանց տեղակալները և անդամները, </w:t>
      </w:r>
      <w:r w:rsidR="00D543E0" w:rsidRPr="00D543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D543E0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ենտրոնական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բանկի նախագահը, նրա տեղակալը և կենտրոնական բանկի խորհրդի անդամները,</w:t>
      </w:r>
      <w:r w:rsidR="005F7280" w:rsidRPr="005F72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2959" w:rsidRPr="00B271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Վարչապետին</w:t>
      </w:r>
      <w:r w:rsidR="005F7280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ենթակա մարմինների ղեկավարները, նրանց տեղակալները,</w:t>
      </w:r>
      <w:r w:rsidR="007926EF" w:rsidRPr="00792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048E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Կառավարությանը ենթակա մարմինների ղեկավարները, նրանց տեղակալները, բացառությամբ տեսչական մարմինների ղեկավարների և նրանց տեղակալների,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վարչապետին ենթակա ազգային անվտանգության ծառայության պետական պահպանության ծառայության պետը և նրա տեղակալները,</w:t>
      </w:r>
      <w:r w:rsidR="00D543E0" w:rsidRPr="00D543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A2F43" w:rsidRPr="005A2F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</w:t>
      </w:r>
      <w:r w:rsidR="00CE56D8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րեակատարողական ծառայության պետը և նրա տեղակալները, </w:t>
      </w:r>
      <w:r w:rsidR="005A2F43" w:rsidRPr="005A2F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CE56D8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րոբացիայի ծառայության ղեկավարը և նրա տեղակալները, </w:t>
      </w:r>
      <w:r w:rsidR="005A2F43" w:rsidRPr="00C53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="00A830CA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լխավոր հարկադիր կատարողը և նրա տեղակալները,</w:t>
      </w:r>
      <w:r w:rsidR="00A830CA" w:rsidRPr="00A830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3637" w:rsidRPr="00C53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</w:t>
      </w:r>
      <w:r w:rsidR="00CE56D8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րկարար ծառայության տնօրենը և նրա տեղակալները,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 ավիացիայի կոմիտեի ղեկավարը և նրա տեղակալները, Պետական գույքի կառավարման կոմիտեի ղեկավարը և նրա տեղակալները, Հայաստանի Հանրապետության մարդու իրավունքների պաշտպանը, Հայաստանի Հանրապետության մարդու իրավունքների պաշտպանի աշխատակազմի դեպարտամենտների ղեկավարները, Հանրապետության նախագահի աշխատակազմի ղեկավարը և նրա տեղակալները, Ազգային ժողովի աշխատակազմի ղեկավարը և նրա տեղակալները, վարչապետի աշխատակազմի ղեկավարը և նրա տեղակալները, Սահմանադրական դատարանի աշխատակազմի ղեկավարը,</w:t>
      </w:r>
      <w:r w:rsidR="002D053F" w:rsidRPr="00A84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0A42" w:rsidRPr="002D05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Բարձրաստիճան </w:t>
      </w:r>
      <w:r w:rsidR="00790A42" w:rsidRPr="002D05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պաշտոնատար անձանց էթիկայի հանձնաժողովի անդամները,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Երևանի քաղաքապետը և նրա տեղակալները, մարզպետները և նրանց տեղակալները, օտարերկրյա պետությունում գործող դիվանագիտական ծառայության մարմինների ղեկավարները, </w:t>
      </w:r>
      <w:r w:rsidR="00B14CE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հատուկ հանձնարարություններով դեսպանը, </w:t>
      </w:r>
      <w:r w:rsidR="00C53637" w:rsidRPr="005C66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նվտանգության խորհրդի քարտուղարը, գլխավոր ռազմական տեսուչը և նրա տեղակալները, Հանրապետության նախագահի խորհրդականները, մամուլի քարտուղարը և օգնականները, Ազգային ժողովի նախագահի խորհրդականները և օգնականները, վարչապետի խորհրդականները և օգնականները</w:t>
      </w:r>
      <w:r w:rsidR="00C2785F" w:rsidRPr="005A58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422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22C85" w:rsidRPr="00422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422C85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C7299" w:rsidRPr="003C7299" w:rsidRDefault="003C7299" w:rsidP="003C7299">
      <w:pPr>
        <w:spacing w:after="0" w:line="360" w:lineRule="auto"/>
        <w:ind w:right="-32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C7299" w:rsidRPr="003C7299" w:rsidRDefault="003C7299" w:rsidP="003C7299">
      <w:pPr>
        <w:rPr>
          <w:rFonts w:ascii="GHEA Grapalat" w:hAnsi="GHEA Grapalat"/>
          <w:sz w:val="24"/>
          <w:szCs w:val="24"/>
          <w:lang w:val="hy-AM"/>
        </w:rPr>
      </w:pPr>
      <w:r w:rsidRPr="003C7299">
        <w:rPr>
          <w:rFonts w:ascii="GHEA Grapalat" w:hAnsi="GHEA Grapalat"/>
          <w:sz w:val="24"/>
          <w:szCs w:val="24"/>
          <w:lang w:val="hy-AM"/>
        </w:rPr>
        <w:br w:type="page"/>
      </w:r>
    </w:p>
    <w:p w:rsidR="003C7299" w:rsidRPr="005F272E" w:rsidRDefault="003C7299" w:rsidP="003C7299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F272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3C7299" w:rsidRPr="00E36F07" w:rsidRDefault="003C7299" w:rsidP="003C7299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C6B09">
        <w:rPr>
          <w:rFonts w:ascii="GHEA Grapalat" w:hAnsi="GHEA Grapalat" w:cs="Sylfaen"/>
          <w:b/>
          <w:sz w:val="24"/>
          <w:szCs w:val="24"/>
          <w:lang w:val="hy-AM"/>
        </w:rPr>
        <w:t xml:space="preserve">ՀԱՆՐԱՅԻՆ ԾԱՌԱՅՈՒԹՅԱՆ ՄԱՍԻՆ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2C6B09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332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6B09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C05A71" w:rsidRPr="003106EB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2C6B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323E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332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323E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2C6B09">
        <w:rPr>
          <w:rFonts w:ascii="GHEA Grapalat" w:hAnsi="GHEA Grapalat" w:cs="Sylfaen"/>
          <w:b/>
          <w:sz w:val="24"/>
          <w:szCs w:val="24"/>
          <w:lang w:val="hy-AM"/>
        </w:rPr>
        <w:t xml:space="preserve">    </w:t>
      </w:r>
      <w:r w:rsidRPr="005F272E">
        <w:rPr>
          <w:rFonts w:ascii="GHEA Grapalat" w:hAnsi="GHEA Grapalat" w:cs="Sylfaen"/>
          <w:b/>
          <w:sz w:val="24"/>
          <w:szCs w:val="24"/>
          <w:lang w:val="hy-AM"/>
        </w:rPr>
        <w:t xml:space="preserve">ՕՐԵՆՔԻ ՆԱԽԱԳԾԻ ԸՆԴՈՒՆՄԱՆ ԱՆՀՐԱԺԵՇՏՈՒԹՅԱՆ </w:t>
      </w:r>
    </w:p>
    <w:p w:rsidR="003C7299" w:rsidRPr="00E36F07" w:rsidRDefault="003C7299" w:rsidP="003C729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C7299" w:rsidRPr="005F272E" w:rsidRDefault="003C7299" w:rsidP="003C7299">
      <w:pPr>
        <w:pStyle w:val="BodyText"/>
        <w:ind w:firstLine="708"/>
        <w:jc w:val="both"/>
        <w:rPr>
          <w:rFonts w:ascii="GHEA Grapalat" w:hAnsi="GHEA Grapalat"/>
          <w:b/>
          <w:i/>
          <w:u w:val="single"/>
          <w:lang w:val="hy-AM"/>
        </w:rPr>
      </w:pPr>
      <w:r w:rsidRPr="005F272E">
        <w:rPr>
          <w:rFonts w:ascii="GHEA Grapalat" w:hAnsi="GHEA Grapalat"/>
          <w:b/>
          <w:i/>
          <w:u w:val="single"/>
          <w:lang w:val="hy-AM"/>
        </w:rPr>
        <w:t>1. ԸՆԹԱՑԻԿ ԻՐԱՎԻՃԱԿԸ ԵՎ ԻՐԱՎԱԿԱՆ ԱԿՏԵՐԻ ԸՆԴՈՒՆՄԱՆ ԱՆՀՐԱԺԵՇՏՈՒԹՅՈՒՆԸ</w:t>
      </w:r>
    </w:p>
    <w:p w:rsidR="00477457" w:rsidRPr="00753BE1" w:rsidRDefault="003C7299" w:rsidP="00E75A68">
      <w:pPr>
        <w:shd w:val="clear" w:color="auto" w:fill="FFFFFF"/>
        <w:spacing w:after="0" w:line="360" w:lineRule="auto"/>
        <w:ind w:firstLine="375"/>
        <w:jc w:val="both"/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</w:pPr>
      <w:r w:rsidRPr="003B4581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>2017 թվականի հունիսի 9</w:t>
      </w:r>
      <w:r w:rsidRPr="00DF7690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-ին և </w:t>
      </w:r>
      <w:r w:rsidRPr="00353B23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>2018 թվականին մարտի 23-ին ընդունված  օրենսդրական փաթեթներով նախատեսվում էր կոռուպցիայի կանխարգելման գործուն կառուցակարգերի ներդրում՝ համապատասխան գործիքակազմով և գործունեության երաշխիքներով օժտված ինստիտուցիոնալ համակարգի առկայության պայմաններում:</w:t>
      </w:r>
    </w:p>
    <w:p w:rsidR="00477457" w:rsidRPr="00753BE1" w:rsidRDefault="00477457" w:rsidP="0047745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53B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2017 թվականի հունիսի </w:t>
      </w:r>
      <w:r w:rsidRPr="003B4581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>9</w:t>
      </w:r>
      <w:r w:rsidRPr="00DF7690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-ին </w:t>
      </w:r>
      <w:r w:rsidRPr="00753BE1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ընդունվել էր </w:t>
      </w:r>
      <w:r w:rsidRPr="00353B23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>«Կոռուպցիայի կանխարգելման հանձնաժողովի մասին» ՀՀ օրենքը</w:t>
      </w:r>
      <w:r w:rsidRPr="00753BE1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>, որով</w:t>
      </w:r>
      <w:r w:rsidRPr="006A2214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753BE1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նախատեսվում </w:t>
      </w:r>
      <w:r w:rsidRPr="00353B23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էր </w:t>
      </w:r>
      <w:r w:rsidRPr="00353B23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սահմանադրական կարգավորումների համատեքստում ինքնավար մարմնի՝ Կոռուպցիայի կանխարգելման հանձնաժողովի ձևավորում:</w:t>
      </w:r>
      <w:r w:rsidRPr="00E540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76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թվականի  ապրիլի 10-ից ուժի մեջ են մտել </w:t>
      </w:r>
      <w:r w:rsidRPr="00753B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Pr="00DF76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րենքի 9-15-րդ հոդվածները</w:t>
      </w:r>
      <w:r w:rsidRPr="00753B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DF76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որոնցով կարգավորվում են հանձնաժողովի անդամներին ներկայացվող պահանջները, հանձնաժողովի կազմավորման, մրցույթի անցկացման և մրցույթում հաղթողների ցուցակն Ազգային ժողով ներկայացնելու հետ կապված հարաբերությունները</w:t>
      </w:r>
      <w:r w:rsidRPr="00753B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սակայն մինչ օրս Հանձնաժողովը չի կազմավորվել:</w:t>
      </w:r>
    </w:p>
    <w:p w:rsidR="003C7299" w:rsidRPr="00E36F07" w:rsidRDefault="003C7299" w:rsidP="00E75A6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3B23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 </w:t>
      </w:r>
      <w:r w:rsidR="00E75A68" w:rsidRPr="00E7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Միաժամանակ, </w:t>
      </w:r>
      <w:r w:rsidRPr="006831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«Հանրային ծառայության մասին» 2018 թվականի օրենք</w:t>
      </w:r>
      <w:r w:rsidR="00487387" w:rsidRPr="00B453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B45392" w:rsidRPr="00B453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831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գույքի, եկամուտների և շահերի հայտարարագրման կարգավորումները գրեթե ամբողջությամբ  պայմանավորել է Հանձնաժողովի կազմավորմամբ: «Հանրային ծառայության մասին» օրենքի 54-րդ հոդվածի 4-րդ մասը սահմանում է, որ </w:t>
      </w:r>
      <w:r w:rsidRPr="0068319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նշված </w:t>
      </w:r>
      <w:r w:rsidRPr="006831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34-րդ հոդվածի 2-12-րդ մասերը, 35-40-րդ հոդվածները, 41-րդ հոդվածի 1-8-րդ մասերը, 43-րդ հոդվածի 1-ին մասը, 2-րդ մասի երկրորդ նախադասությունը, 3-5-րդ մասերն ուժի մեջ են մտնում 2019 թվականի հունվարի 1-ից: Մինչ այդ շարունակում են գործել «Հանրային ծառայության մասին» Հայաստանի Հանրապետության 2011 թվականի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մայիսի 26-ի ՀՕ-172-Ն օրենքի 32-րդ հոդվածի 2-7-րդ մասերի, 32.1-37-րդ հոդվածների դրույթները:</w:t>
      </w:r>
      <w:r w:rsidR="0000791D" w:rsidRPr="000079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 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առումով, հարկ է նշել, որ Հանձնաժողովը դեռևս չի կազմավորվել</w:t>
      </w:r>
      <w:r w:rsidRPr="001A5C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 քանի որ հայտարարագրմանն առնչվող նորմերի ուժի մեջ մտնելը հիմնականում պայմանավորված էր տվյալ մարմնի ստեղծմամբ,</w:t>
      </w:r>
      <w:r w:rsidRPr="00D258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831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54-րդ հոդվածի 4-րդ մաս</w:t>
      </w:r>
      <w:r w:rsidRPr="00011F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4F31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42D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նորմերը չեն կիրառվել</w:t>
      </w:r>
      <w:r w:rsidR="0000791D" w:rsidRPr="007124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և գործնականում չեն առաջացրել որևէ իրավական հետևանք</w:t>
      </w:r>
      <w:r w:rsidRPr="00925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742D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Փաստացի ստեղծվել է մի իրավիճակ, որի արդյունքում Բարձրաստիճան պաշտոնատար անձանց էթիկայի հանձնաժողովն իրավասու չէ ընդունելու պաշտոնատար անձանց և նրանց ընտանիքի անդամների կողմից ներկայացված հայտարարագրերը</w:t>
      </w:r>
      <w:r w:rsidRPr="00925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C7299" w:rsidRPr="0013636E" w:rsidRDefault="003C7299" w:rsidP="003C7299">
      <w:pPr>
        <w:pStyle w:val="ListParagraph"/>
        <w:spacing w:line="360" w:lineRule="auto"/>
        <w:ind w:left="0" w:right="-32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63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Միաժամանակ,</w:t>
      </w:r>
      <w:r w:rsidRPr="00B351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վերլուծելով այն հանգամանքը, որ </w:t>
      </w:r>
      <w:r w:rsidRPr="007A63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«Հանրային ծառայության մասին» 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2018 թվականի</w:t>
      </w:r>
      <w:r w:rsidRPr="007A63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36-րդ հոդված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համաձայն </w:t>
      </w:r>
      <w:r w:rsidRPr="00851DD1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13636E">
        <w:rPr>
          <w:rFonts w:ascii="GHEA Grapalat" w:hAnsi="GHEA Grapalat"/>
          <w:color w:val="000000"/>
          <w:sz w:val="24"/>
          <w:szCs w:val="24"/>
          <w:lang w:val="hy-AM"/>
        </w:rPr>
        <w:t>այտարարատու պաշտոնատար անձինք պաշտոնավարման ընթացքում տարեկան հայտարարագրերը ներկայացնում են մինչև տվյալ տարվան հաջորդող տարվա մարտի 31-ը՝ ակնհայտ է դառնում, որ 2018 թվականի հայտարարագրերի ներկայացման առումով գործնականում տվյալ պահին մեխանիզմներ առկա չեն: Ընդ որում, հայտարարագրերի ներկայացման գործընթացի կասեցումը շատ լուրջ հետևանքներ կունենա ինչպես վարչական վարույթների և համապատասխան քրեական գործերի  հարուցման, այնպես էլ միջազգային կազմակերպությունների գնահատման տեսանկյունից:</w:t>
      </w:r>
    </w:p>
    <w:p w:rsidR="003C7299" w:rsidRPr="0013636E" w:rsidRDefault="003C7299" w:rsidP="003C7299">
      <w:pPr>
        <w:pStyle w:val="BodyText"/>
        <w:spacing w:after="0" w:line="360" w:lineRule="auto"/>
        <w:jc w:val="both"/>
        <w:rPr>
          <w:rFonts w:ascii="GHEA Grapalat" w:hAnsi="GHEA Grapalat"/>
          <w:b/>
          <w:i/>
          <w:u w:val="single"/>
          <w:lang w:val="hy-AM"/>
        </w:rPr>
      </w:pPr>
    </w:p>
    <w:p w:rsidR="003C7299" w:rsidRPr="0013636E" w:rsidRDefault="003C7299" w:rsidP="003C7299">
      <w:pPr>
        <w:pStyle w:val="BodyText"/>
        <w:ind w:firstLine="708"/>
        <w:jc w:val="both"/>
        <w:rPr>
          <w:rFonts w:ascii="GHEA Grapalat" w:hAnsi="GHEA Grapalat"/>
          <w:b/>
          <w:i/>
          <w:u w:val="single"/>
          <w:lang w:val="hy-AM"/>
        </w:rPr>
      </w:pPr>
      <w:r w:rsidRPr="0013636E">
        <w:rPr>
          <w:rFonts w:ascii="GHEA Grapalat" w:hAnsi="GHEA Grapalat"/>
          <w:b/>
          <w:i/>
          <w:u w:val="single"/>
          <w:lang w:val="hy-AM"/>
        </w:rPr>
        <w:t>2. ԱՌԱՋԱՐԿՎՈՂ ԿԱՐԳԱՎՈՐՄԱՆ ԲՆՈՒՅԹԸ</w:t>
      </w:r>
    </w:p>
    <w:p w:rsidR="003C7299" w:rsidRPr="0013636E" w:rsidRDefault="003C7299" w:rsidP="003C7299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3636E">
        <w:rPr>
          <w:rFonts w:ascii="GHEA Grapalat" w:hAnsi="GHEA Grapalat"/>
          <w:noProof/>
          <w:sz w:val="24"/>
          <w:szCs w:val="24"/>
          <w:lang w:val="hy-AM"/>
        </w:rPr>
        <w:t xml:space="preserve">Նախագծի </w:t>
      </w:r>
      <w:r w:rsidRPr="00BC1458">
        <w:rPr>
          <w:rFonts w:ascii="GHEA Grapalat" w:hAnsi="GHEA Grapalat"/>
          <w:noProof/>
          <w:sz w:val="24"/>
          <w:szCs w:val="24"/>
          <w:lang w:val="hy-AM"/>
        </w:rPr>
        <w:t xml:space="preserve">կարգավորումների </w:t>
      </w:r>
      <w:r w:rsidRPr="00E23BA5">
        <w:rPr>
          <w:rFonts w:ascii="GHEA Grapalat" w:hAnsi="GHEA Grapalat"/>
          <w:noProof/>
          <w:sz w:val="24"/>
          <w:szCs w:val="24"/>
          <w:lang w:val="hy-AM"/>
        </w:rPr>
        <w:t xml:space="preserve">համաձայն՝ առաջարկվում է 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«Հանրային ծառայության մասին» </w:t>
      </w:r>
      <w:r w:rsidRPr="00FB3E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թվականի </w:t>
      </w:r>
      <w:r w:rsidRPr="009444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մարտի 23-ի </w:t>
      </w:r>
      <w:r w:rsidRPr="00FB3E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ՀՕ-206-Ն 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54-րդ հոդվածի 4-րդ մաս</w:t>
      </w:r>
      <w:r w:rsidRPr="005978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</w:t>
      </w:r>
      <w:r w:rsidRPr="00582E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34-րդ հոդվածի 2-12-րդ մասեր</w:t>
      </w:r>
      <w:r w:rsidRPr="00B54D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35-40-րդ հոդվածներ</w:t>
      </w:r>
      <w:r w:rsidRPr="00B54D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41-րդ հոդվածի 1-8-րդ մասեր</w:t>
      </w:r>
      <w:r w:rsidRPr="00B54D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43-րդ հոդվածի 1-ին մաս</w:t>
      </w:r>
      <w:r w:rsidRPr="00B54D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2-րդ մասի երկրորդ նախադասությ</w:t>
      </w:r>
      <w:r w:rsidRPr="00511C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3-5-րդ մասեր</w:t>
      </w:r>
      <w:r w:rsidRPr="00F018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ուժի մեջ մտն</w:t>
      </w:r>
      <w:r w:rsidRPr="00A46F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ելու ժամկետ</w:t>
      </w:r>
      <w:r w:rsidRPr="00FD6E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նախատեսել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</w:t>
      </w:r>
      <w:r w:rsidRPr="00C56E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հունվարի 1</w:t>
      </w:r>
      <w:r w:rsidRPr="00551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-ը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 Մինչ այդ շարունակում են գործել «Հանրային ծառայության մասին» Հայաստանի Հանրապետության 2011 թվականի մայիսի 26-ի ՀՕ-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172-Ն օրենքի 32-րդ հոդվածի 2-7-րդ մասերի, 32.1-37-րդ հոդվածների դրույթները:</w:t>
      </w:r>
      <w:r w:rsidRPr="006F35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 որում</w:t>
      </w:r>
      <w:r w:rsidRPr="00F43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F349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նախատեսվում է նորմերի կիրառ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համար սահմանել հետադարձ ուժ՝ հաշվի առնելով այն հանգամանքը, որ </w:t>
      </w:r>
      <w:r w:rsidRPr="00F018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2019 թվականի հունվարի 1-ից de jure ուժի մեջ մտած նորմերը de facto չեն կիրառվել:</w:t>
      </w:r>
      <w:r w:rsidRPr="006F35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C7299" w:rsidRPr="0013636E" w:rsidRDefault="003C7299" w:rsidP="003C7299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13636E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</w:p>
    <w:p w:rsidR="003C7299" w:rsidRPr="0013636E" w:rsidRDefault="003C7299" w:rsidP="003C7299">
      <w:pPr>
        <w:spacing w:line="360" w:lineRule="auto"/>
        <w:ind w:firstLine="708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13636E">
        <w:rPr>
          <w:rFonts w:ascii="GHEA Grapalat" w:hAnsi="GHEA Grapalat"/>
          <w:b/>
          <w:i/>
          <w:sz w:val="24"/>
          <w:szCs w:val="24"/>
          <w:u w:val="single"/>
          <w:lang w:val="hy-AM"/>
        </w:rPr>
        <w:t>3. ՆԱԽԱԳԾԻ ՄՇԱԿՄԱՆ ԳՈՐԾԸՆԹԱՑՈՒՄ ՆԵՐԳՐԱՎՎԱԾ ԻՆՍՏԻՏՈՒՏՆԵՐԸ ԵՎ ԱՆՁԻՆՔ</w:t>
      </w:r>
    </w:p>
    <w:p w:rsidR="003C7299" w:rsidRPr="00E36F07" w:rsidRDefault="003C7299" w:rsidP="003C7299">
      <w:pPr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3636E">
        <w:rPr>
          <w:rFonts w:ascii="GHEA Grapalat" w:hAnsi="GHEA Grapalat"/>
          <w:sz w:val="24"/>
          <w:szCs w:val="24"/>
          <w:lang w:val="hy-AM"/>
        </w:rPr>
        <w:t>Նախագիծը մշակվել է ՀՀ արդարադատության նախարարության կողմից:</w:t>
      </w:r>
    </w:p>
    <w:p w:rsidR="003C7299" w:rsidRPr="00E36F07" w:rsidRDefault="003C7299" w:rsidP="003C7299">
      <w:pPr>
        <w:autoSpaceDE w:val="0"/>
        <w:autoSpaceDN w:val="0"/>
        <w:adjustRightInd w:val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3C7299" w:rsidRPr="0013636E" w:rsidRDefault="003C7299" w:rsidP="003C7299">
      <w:pPr>
        <w:spacing w:line="360" w:lineRule="auto"/>
        <w:ind w:firstLine="708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13636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4. ԱԿՆԿԱԼՎՈՂ ԱՐԴՅՈՒՆՔԸ </w:t>
      </w:r>
    </w:p>
    <w:p w:rsidR="003C7299" w:rsidRPr="008434E0" w:rsidRDefault="003C7299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3636E">
        <w:rPr>
          <w:rFonts w:ascii="GHEA Grapalat" w:hAnsi="GHEA Grapalat"/>
          <w:sz w:val="24"/>
          <w:szCs w:val="24"/>
          <w:lang w:val="hy-AM"/>
        </w:rPr>
        <w:t>Նախագծի ընդունման արդյունքում ժամանակավոր լուծում կտրվի ստեղծված օ</w:t>
      </w:r>
      <w:r w:rsidRPr="00AF6A3A">
        <w:rPr>
          <w:rFonts w:ascii="GHEA Grapalat" w:hAnsi="GHEA Grapalat"/>
          <w:sz w:val="24"/>
          <w:szCs w:val="24"/>
          <w:lang w:val="hy-AM"/>
        </w:rPr>
        <w:t>րե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նսդրական կազուսային իրավիճակին, կապահովվի հայտարարագրման համակարգի բնականոն գործունեությունը: </w:t>
      </w:r>
    </w:p>
    <w:p w:rsidR="003C7299" w:rsidRPr="008434E0" w:rsidRDefault="003C7299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3C7299" w:rsidRPr="00753BE1" w:rsidRDefault="003C7299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3C7299" w:rsidRPr="0013636E" w:rsidRDefault="003C7299" w:rsidP="003C7299">
      <w:pPr>
        <w:tabs>
          <w:tab w:val="left" w:pos="99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3636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3C7299" w:rsidRPr="0013636E" w:rsidRDefault="003C7299" w:rsidP="003C729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36E">
        <w:rPr>
          <w:rFonts w:ascii="GHEA Grapalat" w:hAnsi="GHEA Grapalat" w:cs="Sylfaen"/>
          <w:b/>
          <w:sz w:val="24"/>
          <w:szCs w:val="24"/>
          <w:lang w:val="hy-AM"/>
        </w:rPr>
        <w:t>ՀԱՆՐԱՅԻՆ ԾԱՌԱՅՈՒԹՅԱՆ ՄԱՍԻՆ ՀԱՅԱՍՏԱՆԻ ՀԱՆՐԱՊԵՏՈՒԹՅԱՆ ՕՐԵՆՔՈՒՄ</w:t>
      </w: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ՓՈՓՈԽՈՒԹՅՈՒՆ</w:t>
      </w:r>
      <w:r w:rsidR="003106EB" w:rsidRPr="007D1D95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ՄԱՍԻՆ  </w:t>
      </w:r>
      <w:r w:rsidR="00712492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="00712492" w:rsidRPr="00712492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</w:t>
      </w:r>
      <w:r w:rsidRPr="0013636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</w:t>
      </w:r>
      <w:r w:rsidRPr="0013636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ՕՐԵՆՔՆԵՐԻ ԵՎ ԱՅԼ ԻՐԱՎԱԿԱՆ ԱԿՏԵՐԻ ԸՆԴՈՒՆՄԱՆ ԱՆՀՐԱԺԵՇՏՈՒԹՅԱՆ ՄԱՍԻՆ</w:t>
      </w:r>
      <w:r w:rsidRPr="0013636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</w:t>
      </w:r>
    </w:p>
    <w:p w:rsidR="003C7299" w:rsidRPr="0013636E" w:rsidRDefault="003C7299" w:rsidP="003C7299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3C7299" w:rsidRPr="0013636E" w:rsidRDefault="003C7299" w:rsidP="003C729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13636E">
        <w:rPr>
          <w:rFonts w:ascii="GHEA Grapalat" w:hAnsi="GHEA Grapalat" w:cs="Sylfaen"/>
          <w:sz w:val="24"/>
          <w:szCs w:val="24"/>
          <w:lang w:val="hy-AM"/>
        </w:rPr>
        <w:t>Հանրային ծառայության մասին Հայաստանի Հանրապետության օրենքում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 փոփոխություն</w:t>
      </w:r>
      <w:r w:rsidR="00FC626B" w:rsidRPr="00E75A68">
        <w:rPr>
          <w:rFonts w:ascii="GHEA Grapalat" w:hAnsi="GHEA Grapalat"/>
          <w:sz w:val="24"/>
          <w:szCs w:val="24"/>
          <w:lang w:val="hy-AM"/>
        </w:rPr>
        <w:t>ներ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sz w:val="24"/>
          <w:szCs w:val="24"/>
          <w:lang w:val="hy-AM"/>
        </w:rPr>
        <w:t>մասին  օրենքի նախագծի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13636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/>
          <w:sz w:val="24"/>
          <w:szCs w:val="24"/>
          <w:lang w:val="hy-AM"/>
        </w:rPr>
        <w:t>կապակցությամբ այլ իրավական ակտերի ընդունման անհրաժեշտություն չի առաջանում:</w:t>
      </w:r>
      <w:r w:rsidRPr="0013636E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</w:p>
    <w:p w:rsidR="003C7299" w:rsidRPr="0013636E" w:rsidRDefault="003C7299" w:rsidP="003C7299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13636E">
        <w:rPr>
          <w:rFonts w:ascii="GHEA Grapalat" w:hAnsi="GHEA Grapalat" w:cs="Sylfaen"/>
          <w:b/>
          <w:sz w:val="24"/>
          <w:szCs w:val="24"/>
          <w:lang w:val="hy-AM"/>
        </w:rPr>
        <w:br w:type="page"/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 </w:t>
      </w:r>
    </w:p>
    <w:p w:rsidR="003C7299" w:rsidRPr="0013636E" w:rsidRDefault="003C7299" w:rsidP="003C7299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3636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3C7299" w:rsidRPr="0013636E" w:rsidRDefault="00712492" w:rsidP="003C729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36E">
        <w:rPr>
          <w:rFonts w:ascii="GHEA Grapalat" w:hAnsi="GHEA Grapalat" w:cs="Sylfaen"/>
          <w:b/>
          <w:sz w:val="24"/>
          <w:szCs w:val="24"/>
          <w:lang w:val="hy-AM"/>
        </w:rPr>
        <w:t>ՀԱՆՐԱՅԻՆ ԾԱՌԱՅՈՒԹՅԱՆ ՄԱՍԻՆ ՀԱՅԱՍՏԱՆԻ ՀԱՆՐԱՊԵՏՈՒԹՅԱՆ ՕՐԵՆՔՈՒՄ</w:t>
      </w: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ՓՈՓՈԽՈՒԹՅՈՒՆ</w:t>
      </w:r>
      <w:r w:rsidR="007D1D95" w:rsidRPr="00E1774C">
        <w:rPr>
          <w:rFonts w:ascii="GHEA Grapalat" w:hAnsi="GHEA Grapalat"/>
          <w:b/>
          <w:sz w:val="24"/>
          <w:szCs w:val="24"/>
          <w:lang w:val="hy-AM"/>
        </w:rPr>
        <w:t>ՆԵ</w:t>
      </w:r>
      <w:r w:rsidR="00FC626B" w:rsidRPr="00FC626B">
        <w:rPr>
          <w:rFonts w:ascii="GHEA Grapalat" w:hAnsi="GHEA Grapalat"/>
          <w:b/>
          <w:sz w:val="24"/>
          <w:szCs w:val="24"/>
          <w:lang w:val="hy-AM"/>
        </w:rPr>
        <w:t xml:space="preserve">Ր 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ՄԱՍԻՆ  </w:t>
      </w:r>
      <w:r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Pr="00712492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</w:t>
      </w:r>
      <w:r w:rsidRPr="0013636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3C7299" w:rsidRPr="0013636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ԸՆԴՈՒՆՄԱՆ </w:t>
      </w:r>
      <w:r w:rsidR="003C7299" w:rsidRPr="0013636E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3C7299" w:rsidRPr="001363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7299" w:rsidRPr="0013636E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 xml:space="preserve">ԴԵՊՔՈՒՄ </w:t>
      </w:r>
      <w:r w:rsidR="003C7299"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ՊԵՏԱԿԱՆ ԲՅՈՒՋԵԻ ԾԱԽՍԵՐԻ </w:t>
      </w:r>
      <w:r w:rsidR="003C7299" w:rsidRPr="0013636E">
        <w:rPr>
          <w:rFonts w:ascii="GHEA Grapalat" w:hAnsi="GHEA Grapalat" w:cs="Sylfaen"/>
          <w:b/>
          <w:bCs/>
          <w:sz w:val="24"/>
          <w:szCs w:val="24"/>
          <w:lang w:val="hy-AM"/>
        </w:rPr>
        <w:t>ԱՎԵԼԱՑՄԱՆ</w:t>
      </w:r>
      <w:r w:rsidR="003C7299" w:rsidRPr="0013636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C7299" w:rsidRPr="0013636E">
        <w:rPr>
          <w:rFonts w:ascii="GHEA Grapalat" w:hAnsi="GHEA Grapalat"/>
          <w:b/>
          <w:sz w:val="24"/>
          <w:szCs w:val="24"/>
          <w:lang w:val="hy-AM"/>
        </w:rPr>
        <w:t>ՄԱՍԻՆ</w:t>
      </w:r>
      <w:r w:rsidR="003C7299" w:rsidRPr="0013636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</w:t>
      </w:r>
    </w:p>
    <w:p w:rsidR="003C7299" w:rsidRPr="0013636E" w:rsidRDefault="003C7299" w:rsidP="003C7299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3C7299" w:rsidRPr="0013636E" w:rsidRDefault="003C7299" w:rsidP="003C7299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3636E">
        <w:rPr>
          <w:rFonts w:ascii="GHEA Grapalat" w:hAnsi="GHEA Grapalat" w:cs="Sylfaen"/>
          <w:sz w:val="24"/>
          <w:szCs w:val="24"/>
          <w:lang w:val="hy-AM"/>
        </w:rPr>
        <w:t>Հանրային ծառայության մասին Հայաստանի Հանրապետության օրենքում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 փոփոխություն</w:t>
      </w:r>
      <w:r w:rsidR="00E1774C" w:rsidRPr="00FC626B">
        <w:rPr>
          <w:rFonts w:ascii="GHEA Grapalat" w:hAnsi="GHEA Grapalat"/>
          <w:sz w:val="24"/>
          <w:szCs w:val="24"/>
          <w:lang w:val="hy-AM"/>
        </w:rPr>
        <w:t>ներ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sz w:val="24"/>
          <w:szCs w:val="24"/>
          <w:lang w:val="hy-AM"/>
        </w:rPr>
        <w:t>մասին  օրենքի նախագծի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13636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3636E">
        <w:rPr>
          <w:rFonts w:ascii="GHEA Grapalat" w:eastAsia="Calibri" w:hAnsi="GHEA Grapalat"/>
          <w:color w:val="000000"/>
          <w:sz w:val="24"/>
          <w:szCs w:val="24"/>
          <w:lang w:val="hy-AM"/>
        </w:rPr>
        <w:t xml:space="preserve">դեպքում </w:t>
      </w:r>
      <w:r w:rsidRPr="0013636E">
        <w:rPr>
          <w:rFonts w:ascii="GHEA Grapalat" w:hAnsi="GHEA Grapalat" w:cs="Sylfaen"/>
          <w:sz w:val="24"/>
          <w:szCs w:val="24"/>
          <w:lang w:val="hy-AM"/>
        </w:rPr>
        <w:t xml:space="preserve">պետական բյուջեի ծախսերի </w:t>
      </w:r>
      <w:r w:rsidRPr="0013636E">
        <w:rPr>
          <w:rFonts w:ascii="GHEA Grapalat" w:hAnsi="GHEA Grapalat" w:cs="Sylfaen"/>
          <w:bCs/>
          <w:sz w:val="24"/>
          <w:szCs w:val="24"/>
          <w:lang w:val="hy-AM"/>
        </w:rPr>
        <w:t xml:space="preserve">ավելացում չի նախատեսվում:  </w:t>
      </w:r>
    </w:p>
    <w:p w:rsidR="003C7299" w:rsidRPr="0013636E" w:rsidRDefault="003C7299" w:rsidP="003C7299">
      <w:pPr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C7299" w:rsidRPr="0013636E" w:rsidRDefault="003C7299" w:rsidP="003C7299">
      <w:pPr>
        <w:rPr>
          <w:rFonts w:ascii="GHEA Grapalat" w:hAnsi="GHEA Grapalat"/>
          <w:sz w:val="24"/>
          <w:szCs w:val="24"/>
          <w:lang w:val="hy-AM"/>
        </w:rPr>
      </w:pPr>
    </w:p>
    <w:p w:rsidR="003C7299" w:rsidRPr="0013636E" w:rsidRDefault="003C7299" w:rsidP="003C7299">
      <w:pPr>
        <w:rPr>
          <w:rFonts w:ascii="GHEA Grapalat" w:hAnsi="GHEA Grapalat"/>
          <w:sz w:val="24"/>
          <w:szCs w:val="24"/>
          <w:lang w:val="hy-AM"/>
        </w:rPr>
      </w:pPr>
    </w:p>
    <w:p w:rsidR="003C7299" w:rsidRPr="0013636E" w:rsidRDefault="003C7299" w:rsidP="003C7299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C7299" w:rsidRPr="0013636E" w:rsidRDefault="003C7299" w:rsidP="003C7299">
      <w:pPr>
        <w:spacing w:line="360" w:lineRule="auto"/>
        <w:rPr>
          <w:sz w:val="24"/>
          <w:szCs w:val="24"/>
          <w:lang w:val="hy-AM"/>
        </w:rPr>
      </w:pPr>
    </w:p>
    <w:p w:rsidR="003C7299" w:rsidRPr="0013636E" w:rsidRDefault="003C7299" w:rsidP="003C7299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D26E1" w:rsidRPr="003C7299" w:rsidRDefault="00CD26E1">
      <w:pPr>
        <w:rPr>
          <w:lang w:val="hy-AM"/>
        </w:rPr>
      </w:pPr>
    </w:p>
    <w:sectPr w:rsidR="00CD26E1" w:rsidRPr="003C7299" w:rsidSect="00BA467F">
      <w:headerReference w:type="default" r:id="rId6"/>
      <w:footerReference w:type="even" r:id="rId7"/>
      <w:footerReference w:type="default" r:id="rId8"/>
      <w:pgSz w:w="12240" w:h="15840"/>
      <w:pgMar w:top="851" w:right="1134" w:bottom="851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910" w:rsidRDefault="00615910" w:rsidP="007B637A">
      <w:pPr>
        <w:spacing w:after="0" w:line="240" w:lineRule="auto"/>
      </w:pPr>
      <w:r>
        <w:separator/>
      </w:r>
    </w:p>
  </w:endnote>
  <w:endnote w:type="continuationSeparator" w:id="0">
    <w:p w:rsidR="00615910" w:rsidRDefault="00615910" w:rsidP="007B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52B" w:rsidRDefault="00EC47EE" w:rsidP="00BA46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24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652B" w:rsidRDefault="00615910" w:rsidP="00BA46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52B" w:rsidRDefault="00615910"/>
  <w:p w:rsidR="00AA652B" w:rsidRDefault="00615910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106"/>
      <w:gridCol w:w="1934"/>
    </w:tblGrid>
    <w:tr w:rsidR="00AA652B" w:rsidRPr="004310E8" w:rsidTr="00BA467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AA652B" w:rsidRPr="004310E8" w:rsidRDefault="00615910" w:rsidP="00BA467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AA652B" w:rsidRPr="004310E8" w:rsidRDefault="00615910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AA652B" w:rsidRPr="004310E8" w:rsidRDefault="00EC47E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4310E8">
            <w:rPr>
              <w:rFonts w:ascii="Art" w:hAnsi="Art"/>
              <w:sz w:val="16"/>
              <w:szCs w:val="16"/>
            </w:rPr>
            <w:fldChar w:fldCharType="begin"/>
          </w:r>
          <w:r w:rsidR="00712492" w:rsidRPr="004310E8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4310E8">
            <w:rPr>
              <w:rFonts w:ascii="Art" w:hAnsi="Art"/>
              <w:sz w:val="16"/>
              <w:szCs w:val="16"/>
            </w:rPr>
            <w:fldChar w:fldCharType="separate"/>
          </w:r>
          <w:r w:rsidR="00375495">
            <w:rPr>
              <w:rFonts w:ascii="Art" w:hAnsi="Art"/>
              <w:noProof/>
              <w:sz w:val="16"/>
              <w:szCs w:val="16"/>
            </w:rPr>
            <w:t>1</w:t>
          </w:r>
          <w:r w:rsidRPr="004310E8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AA652B" w:rsidRDefault="00615910" w:rsidP="00BA467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910" w:rsidRDefault="00615910" w:rsidP="007B637A">
      <w:pPr>
        <w:spacing w:after="0" w:line="240" w:lineRule="auto"/>
      </w:pPr>
      <w:r>
        <w:separator/>
      </w:r>
    </w:p>
  </w:footnote>
  <w:footnote w:type="continuationSeparator" w:id="0">
    <w:p w:rsidR="00615910" w:rsidRDefault="00615910" w:rsidP="007B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52B" w:rsidRPr="009D697B" w:rsidRDefault="00712492" w:rsidP="00C13647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None/>
          <wp:docPr id="1" name="Picture 5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D697B">
      <w:rPr>
        <w:rFonts w:ascii="Arial Armenian" w:eastAsia="SimSun" w:hAnsi="Arial Armenian" w:cs="Arial"/>
      </w:rPr>
      <w:t xml:space="preserve">²ñ¹³ñ³¹³ïáõÃÛ³Ý </w:t>
    </w:r>
    <w:r w:rsidRPr="009D697B">
      <w:rPr>
        <w:rFonts w:ascii="Arial Armenian" w:eastAsia="SimSun" w:hAnsi="Arial Armenian" w:cs="Arial"/>
        <w:lang w:val="ru-RU"/>
      </w:rPr>
      <w:t xml:space="preserve">                                                                                             </w:t>
    </w:r>
    <w:r w:rsidRPr="009D697B">
      <w:rPr>
        <w:rFonts w:ascii="Arial Armenian" w:eastAsia="SimSun" w:hAnsi="Arial Armenian" w:cs="Arial"/>
      </w:rPr>
      <w:t>Ü²Ê²¶ÆÌ</w:t>
    </w:r>
    <w:r w:rsidRPr="009D697B">
      <w:rPr>
        <w:rFonts w:ascii="Arial Armenian" w:eastAsia="SimSun" w:hAnsi="Arial Armenian" w:cs="Arial"/>
        <w:lang w:val="ru-RU"/>
      </w:rPr>
      <w:t xml:space="preserve">                                   </w:t>
    </w:r>
    <w:r w:rsidRPr="009D697B">
      <w:rPr>
        <w:rFonts w:ascii="Arial Armenian" w:eastAsia="SimSun" w:hAnsi="Arial Armenian" w:cs="Arial"/>
      </w:rPr>
      <w:t xml:space="preserve">                                        </w:t>
    </w:r>
  </w:p>
  <w:p w:rsidR="00AA652B" w:rsidRPr="009D697B" w:rsidRDefault="00712492" w:rsidP="00C13647">
    <w:pPr>
      <w:pStyle w:val="Header"/>
      <w:pBdr>
        <w:left w:val="single" w:sz="18" w:space="4" w:color="0000FF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Ü³Ë³ñ³ñáõÃÛáõÝ                       </w:t>
    </w:r>
  </w:p>
  <w:p w:rsidR="00AA652B" w:rsidRPr="009D697B" w:rsidRDefault="00712492" w:rsidP="00C13647">
    <w:pPr>
      <w:pStyle w:val="Header"/>
      <w:pBdr>
        <w:left w:val="single" w:sz="18" w:space="4" w:color="FF6600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                                  </w:t>
    </w:r>
  </w:p>
  <w:p w:rsidR="00AA652B" w:rsidRPr="002B3928" w:rsidRDefault="00712492" w:rsidP="00BA467F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99"/>
    <w:rsid w:val="0000791D"/>
    <w:rsid w:val="00022009"/>
    <w:rsid w:val="000261B9"/>
    <w:rsid w:val="0003248E"/>
    <w:rsid w:val="000B4A08"/>
    <w:rsid w:val="001045AA"/>
    <w:rsid w:val="00106D9A"/>
    <w:rsid w:val="00110C8A"/>
    <w:rsid w:val="001E0478"/>
    <w:rsid w:val="00203D64"/>
    <w:rsid w:val="0025413C"/>
    <w:rsid w:val="002D053F"/>
    <w:rsid w:val="003106EB"/>
    <w:rsid w:val="00373712"/>
    <w:rsid w:val="00375495"/>
    <w:rsid w:val="0038305A"/>
    <w:rsid w:val="003C7299"/>
    <w:rsid w:val="003D3916"/>
    <w:rsid w:val="00422C85"/>
    <w:rsid w:val="00451024"/>
    <w:rsid w:val="00474BB9"/>
    <w:rsid w:val="00477457"/>
    <w:rsid w:val="00487387"/>
    <w:rsid w:val="00530DAE"/>
    <w:rsid w:val="00536D92"/>
    <w:rsid w:val="00557E1A"/>
    <w:rsid w:val="005A2F43"/>
    <w:rsid w:val="005A583B"/>
    <w:rsid w:val="005C06FE"/>
    <w:rsid w:val="005C669E"/>
    <w:rsid w:val="005F7280"/>
    <w:rsid w:val="00615910"/>
    <w:rsid w:val="00651BEC"/>
    <w:rsid w:val="00672C43"/>
    <w:rsid w:val="00692C73"/>
    <w:rsid w:val="006A2D1D"/>
    <w:rsid w:val="006B1CDD"/>
    <w:rsid w:val="006D7016"/>
    <w:rsid w:val="00712492"/>
    <w:rsid w:val="00747293"/>
    <w:rsid w:val="007529E8"/>
    <w:rsid w:val="00753BE1"/>
    <w:rsid w:val="007634E3"/>
    <w:rsid w:val="00790A42"/>
    <w:rsid w:val="007926EF"/>
    <w:rsid w:val="007B637A"/>
    <w:rsid w:val="007C7DED"/>
    <w:rsid w:val="007D1D95"/>
    <w:rsid w:val="007F1B25"/>
    <w:rsid w:val="0083171C"/>
    <w:rsid w:val="00837C2C"/>
    <w:rsid w:val="00855F32"/>
    <w:rsid w:val="008C1C62"/>
    <w:rsid w:val="008D048E"/>
    <w:rsid w:val="008E2D98"/>
    <w:rsid w:val="009102BD"/>
    <w:rsid w:val="00943DAB"/>
    <w:rsid w:val="0099093A"/>
    <w:rsid w:val="00997BC8"/>
    <w:rsid w:val="00A65ACB"/>
    <w:rsid w:val="00A76C2F"/>
    <w:rsid w:val="00A830CA"/>
    <w:rsid w:val="00A84E59"/>
    <w:rsid w:val="00A94D0F"/>
    <w:rsid w:val="00AF7519"/>
    <w:rsid w:val="00B1057D"/>
    <w:rsid w:val="00B14CE9"/>
    <w:rsid w:val="00B271CD"/>
    <w:rsid w:val="00B45392"/>
    <w:rsid w:val="00B67426"/>
    <w:rsid w:val="00C0375D"/>
    <w:rsid w:val="00C05A71"/>
    <w:rsid w:val="00C2785F"/>
    <w:rsid w:val="00C31E75"/>
    <w:rsid w:val="00C53637"/>
    <w:rsid w:val="00C614BF"/>
    <w:rsid w:val="00CD26E1"/>
    <w:rsid w:val="00CE56D8"/>
    <w:rsid w:val="00CE62FF"/>
    <w:rsid w:val="00D26979"/>
    <w:rsid w:val="00D543E0"/>
    <w:rsid w:val="00D7549A"/>
    <w:rsid w:val="00E1774C"/>
    <w:rsid w:val="00E75A68"/>
    <w:rsid w:val="00EA29A6"/>
    <w:rsid w:val="00EC2959"/>
    <w:rsid w:val="00EC47EE"/>
    <w:rsid w:val="00F0163B"/>
    <w:rsid w:val="00F17775"/>
    <w:rsid w:val="00F53FC7"/>
    <w:rsid w:val="00F613B8"/>
    <w:rsid w:val="00F95EE2"/>
    <w:rsid w:val="00FC626B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B345C-62AB-4678-AA89-7FA7F53B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29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3C72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3C72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72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729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C7299"/>
  </w:style>
  <w:style w:type="character" w:styleId="CommentReference">
    <w:name w:val="annotation reference"/>
    <w:uiPriority w:val="99"/>
    <w:unhideWhenUsed/>
    <w:rsid w:val="003C7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299"/>
    <w:pPr>
      <w:spacing w:after="0" w:line="240" w:lineRule="auto"/>
    </w:pPr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299"/>
    <w:rPr>
      <w:rFonts w:ascii="Times Armenian" w:eastAsia="Times New Roman" w:hAnsi="Times Armenian" w:cs="Times New Roman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72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7299"/>
    <w:rPr>
      <w:b/>
      <w:bCs/>
    </w:rPr>
  </w:style>
  <w:style w:type="paragraph" w:styleId="BodyText">
    <w:name w:val="Body Text"/>
    <w:basedOn w:val="Normal"/>
    <w:link w:val="BodyTextChar"/>
    <w:rsid w:val="003C729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C729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C7299"/>
  </w:style>
  <w:style w:type="paragraph" w:styleId="BalloonText">
    <w:name w:val="Balloon Text"/>
    <w:basedOn w:val="Normal"/>
    <w:link w:val="BalloonTextChar"/>
    <w:uiPriority w:val="99"/>
    <w:semiHidden/>
    <w:unhideWhenUsed/>
    <w:rsid w:val="003C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299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E0"/>
    <w:pPr>
      <w:spacing w:after="200"/>
    </w:pPr>
    <w:rPr>
      <w:rFonts w:ascii="Calibri" w:hAnsi="Calibri"/>
      <w:b/>
      <w:bCs/>
      <w:i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E0"/>
    <w:rPr>
      <w:rFonts w:ascii="Calibri" w:eastAsia="Times New Roman" w:hAnsi="Calibri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M-Galstyan</dc:creator>
  <cp:keywords>https://mul2.gov.am/tasks/31477/oneclick/Naxagic-04.03.2019.docx?token=e5e2ab3bdf4bfdabc44ecf2cc3e1f3d4</cp:keywords>
  <cp:lastModifiedBy>Bakur Simonyan</cp:lastModifiedBy>
  <cp:revision>2</cp:revision>
  <cp:lastPrinted>2019-03-01T08:07:00Z</cp:lastPrinted>
  <dcterms:created xsi:type="dcterms:W3CDTF">2019-03-04T13:17:00Z</dcterms:created>
  <dcterms:modified xsi:type="dcterms:W3CDTF">2019-03-04T13:17:00Z</dcterms:modified>
</cp:coreProperties>
</file>