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0B" w:rsidRPr="00DD2E6C" w:rsidRDefault="001A580B" w:rsidP="001A580B">
      <w:pPr>
        <w:spacing w:before="10"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DD2E6C">
        <w:rPr>
          <w:rFonts w:ascii="GHEA Grapalat" w:eastAsia="Times New Roman" w:hAnsi="GHEA Grapalat" w:cs="Sylfaen"/>
          <w:b/>
          <w:bCs/>
          <w:sz w:val="24"/>
          <w:szCs w:val="24"/>
        </w:rPr>
        <w:t>ԱՄՓՈՓԱԹԵՐԹ</w:t>
      </w:r>
    </w:p>
    <w:p w:rsidR="001A580B" w:rsidRPr="00DD2E6C" w:rsidRDefault="00674ECC" w:rsidP="001A580B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DD2E6C">
        <w:rPr>
          <w:rFonts w:ascii="GHEA Grapalat" w:hAnsi="GHEA Grapalat"/>
          <w:b/>
          <w:sz w:val="24"/>
          <w:szCs w:val="24"/>
        </w:rPr>
        <w:t xml:space="preserve">Վերամշակում` մաքսային տարածքում, Վերամշակում` ներքին սպառման համար մաքսային ընթացակարգերով ներմուծվող ապրանքների ձևակերպման համար թույլտվությունների ստացման և Վերամշակում` մաքսային տարածքից դուրս մաքսային ընթացակարգով արտահանվող ապրանքների ձևակերպման համար թույլտվության ստացման կարգերը սահմանելու մասին ՀՀ կառավարության </w:t>
      </w:r>
      <w:r w:rsidR="00DA27FC" w:rsidRPr="00DD2E6C">
        <w:rPr>
          <w:rFonts w:ascii="GHEA Grapalat" w:hAnsi="GHEA Grapalat"/>
          <w:b/>
          <w:sz w:val="24"/>
          <w:szCs w:val="24"/>
        </w:rPr>
        <w:t xml:space="preserve">որոշման </w:t>
      </w:r>
      <w:r w:rsidRPr="00DD2E6C">
        <w:rPr>
          <w:rFonts w:ascii="GHEA Grapalat" w:hAnsi="GHEA Grapalat"/>
          <w:b/>
          <w:sz w:val="24"/>
          <w:szCs w:val="24"/>
        </w:rPr>
        <w:t>նախագծի</w:t>
      </w:r>
      <w:r w:rsidR="001A580B" w:rsidRPr="00DD2E6C">
        <w:rPr>
          <w:rFonts w:ascii="GHEA Grapalat" w:hAnsi="GHEA Grapalat"/>
          <w:b/>
          <w:sz w:val="24"/>
          <w:szCs w:val="24"/>
        </w:rPr>
        <w:t xml:space="preserve"> </w:t>
      </w:r>
      <w:r w:rsidR="00713462" w:rsidRPr="00DD2E6C">
        <w:rPr>
          <w:rFonts w:ascii="GHEA Grapalat" w:hAnsi="GHEA Grapalat"/>
          <w:b/>
          <w:sz w:val="24"/>
          <w:szCs w:val="24"/>
        </w:rPr>
        <w:t>(այսուհետ` նախագ</w:t>
      </w:r>
      <w:r w:rsidR="00DA27FC" w:rsidRPr="00DD2E6C">
        <w:rPr>
          <w:rFonts w:ascii="GHEA Grapalat" w:hAnsi="GHEA Grapalat"/>
          <w:b/>
          <w:sz w:val="24"/>
          <w:szCs w:val="24"/>
        </w:rPr>
        <w:t>ի</w:t>
      </w:r>
      <w:r w:rsidR="00713462" w:rsidRPr="00DD2E6C">
        <w:rPr>
          <w:rFonts w:ascii="GHEA Grapalat" w:hAnsi="GHEA Grapalat"/>
          <w:b/>
          <w:sz w:val="24"/>
          <w:szCs w:val="24"/>
        </w:rPr>
        <w:t xml:space="preserve">ծ) </w:t>
      </w:r>
      <w:r w:rsidR="001A580B" w:rsidRPr="00DD2E6C">
        <w:rPr>
          <w:rFonts w:ascii="GHEA Grapalat" w:hAnsi="GHEA Grapalat"/>
          <w:b/>
          <w:sz w:val="24"/>
          <w:szCs w:val="24"/>
        </w:rPr>
        <w:t>վերաբերյալ դիտողությունների և առաջարկությունների</w:t>
      </w:r>
      <w:r w:rsidR="001A580B" w:rsidRPr="00DD2E6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:rsidR="009666BB" w:rsidRPr="00DD2E6C" w:rsidRDefault="009666BB" w:rsidP="001A580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TableGrid"/>
        <w:tblW w:w="16020" w:type="dxa"/>
        <w:tblInd w:w="-882" w:type="dxa"/>
        <w:tblLook w:val="04A0"/>
      </w:tblPr>
      <w:tblGrid>
        <w:gridCol w:w="4140"/>
        <w:gridCol w:w="6120"/>
        <w:gridCol w:w="5760"/>
      </w:tblGrid>
      <w:tr w:rsidR="001A580B" w:rsidRPr="00DD2E6C" w:rsidTr="009666BB">
        <w:tc>
          <w:tcPr>
            <w:tcW w:w="4140" w:type="dxa"/>
          </w:tcPr>
          <w:p w:rsidR="001A580B" w:rsidRPr="00DD2E6C" w:rsidRDefault="001A580B" w:rsidP="00BA2237">
            <w:pPr>
              <w:spacing w:before="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DD2E6C" w:rsidRDefault="001A580B" w:rsidP="00BA2237">
            <w:pPr>
              <w:spacing w:before="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Գերատեսչության անվանումը</w:t>
            </w:r>
          </w:p>
          <w:p w:rsidR="001A580B" w:rsidRPr="00DD2E6C" w:rsidRDefault="001A580B" w:rsidP="00BA2237">
            <w:pPr>
              <w:spacing w:before="1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120" w:type="dxa"/>
          </w:tcPr>
          <w:p w:rsidR="001A580B" w:rsidRPr="00DD2E6C" w:rsidRDefault="001A580B" w:rsidP="00BA2237">
            <w:pPr>
              <w:spacing w:before="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DD2E6C" w:rsidRDefault="001A580B" w:rsidP="00BA2237">
            <w:pPr>
              <w:spacing w:before="1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Առաջարկություններ և դիտողություններ</w:t>
            </w:r>
          </w:p>
        </w:tc>
        <w:tc>
          <w:tcPr>
            <w:tcW w:w="5760" w:type="dxa"/>
          </w:tcPr>
          <w:p w:rsidR="001A580B" w:rsidRPr="00DD2E6C" w:rsidRDefault="001A580B" w:rsidP="00BA2237">
            <w:pPr>
              <w:spacing w:before="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DD2E6C" w:rsidRDefault="001A580B" w:rsidP="00BA2237">
            <w:pPr>
              <w:spacing w:before="1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Մեկնաբանություններ</w:t>
            </w:r>
          </w:p>
        </w:tc>
      </w:tr>
      <w:tr w:rsidR="007306FF" w:rsidRPr="00DD2E6C" w:rsidTr="00A81A7D">
        <w:trPr>
          <w:trHeight w:val="926"/>
        </w:trPr>
        <w:tc>
          <w:tcPr>
            <w:tcW w:w="4140" w:type="dxa"/>
          </w:tcPr>
          <w:p w:rsidR="00BD2C49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ՀՀ միջազգային տնտեսական ինտեգրման և բարեփոխումների նախարար, փոխվարչապետ</w:t>
            </w:r>
          </w:p>
          <w:p w:rsidR="007306FF" w:rsidRPr="00DD2E6C" w:rsidRDefault="007306FF" w:rsidP="00BD2C49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r w:rsidR="00BD2C49"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(23.09.2015թ. N01/948-15)</w:t>
            </w:r>
          </w:p>
        </w:tc>
        <w:tc>
          <w:tcPr>
            <w:tcW w:w="6120" w:type="dxa"/>
          </w:tcPr>
          <w:p w:rsidR="007306FF" w:rsidRPr="00DD2E6C" w:rsidRDefault="007306FF" w:rsidP="00BD2C49">
            <w:pPr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վերաբերյալ սկզբունքային</w:t>
            </w:r>
            <w:r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D2E6C">
              <w:rPr>
                <w:rFonts w:ascii="GHEA Grapalat" w:hAnsi="GHEA Grapalat" w:cs="Sylfaen"/>
                <w:sz w:val="24"/>
                <w:szCs w:val="24"/>
              </w:rPr>
              <w:t xml:space="preserve">դիտողություններ և </w:t>
            </w:r>
            <w:r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 չկան</w:t>
            </w:r>
            <w:r w:rsidRPr="00DD2E6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:rsidR="007306FF" w:rsidRPr="00DD2E6C" w:rsidRDefault="007306FF" w:rsidP="00BA2237">
            <w:pPr>
              <w:spacing w:before="1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2E6C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7306FF" w:rsidRPr="00EF19C6" w:rsidTr="00AE6B26">
        <w:trPr>
          <w:trHeight w:val="1034"/>
        </w:trPr>
        <w:tc>
          <w:tcPr>
            <w:tcW w:w="4140" w:type="dxa"/>
          </w:tcPr>
          <w:p w:rsidR="007306FF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ՀՀ էկոնոմիկայի նախարարություն</w:t>
            </w:r>
          </w:p>
          <w:p w:rsidR="007306FF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(28.09.2015թ. N 01/14.2.1/7625-15)</w:t>
            </w:r>
          </w:p>
          <w:p w:rsidR="007306FF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7306FF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7306FF" w:rsidRPr="00DD2E6C" w:rsidRDefault="007306FF" w:rsidP="00BA2237">
            <w:pPr>
              <w:spacing w:before="1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120" w:type="dxa"/>
          </w:tcPr>
          <w:p w:rsidR="007306FF" w:rsidRPr="00DD2E6C" w:rsidRDefault="00AE6B26" w:rsidP="009666BB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7306FF"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 N1 Հավելվածի 14-րդ կետում առաջարկում ենք դիմումի ներկայացումը նախատեսել նաև էլեկտրոնային եղանակով:</w:t>
            </w:r>
          </w:p>
        </w:tc>
        <w:tc>
          <w:tcPr>
            <w:tcW w:w="5760" w:type="dxa"/>
          </w:tcPr>
          <w:p w:rsidR="007306FF" w:rsidRPr="00DD2E6C" w:rsidRDefault="007306FF" w:rsidP="00BA2237">
            <w:pPr>
              <w:spacing w:before="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է համապատասխան փոփոխություն:</w:t>
            </w:r>
          </w:p>
        </w:tc>
      </w:tr>
      <w:tr w:rsidR="007306FF" w:rsidRPr="00DD2E6C" w:rsidTr="009666BB">
        <w:tc>
          <w:tcPr>
            <w:tcW w:w="4140" w:type="dxa"/>
          </w:tcPr>
          <w:p w:rsidR="007306FF" w:rsidRPr="00DD2E6C" w:rsidRDefault="007306FF" w:rsidP="009666BB">
            <w:pPr>
              <w:tabs>
                <w:tab w:val="left" w:pos="342"/>
              </w:tabs>
              <w:spacing w:before="10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ՀՀ առողջապահության  նախարարություն</w:t>
            </w:r>
          </w:p>
          <w:p w:rsidR="007306FF" w:rsidRPr="00DD2E6C" w:rsidRDefault="007306FF" w:rsidP="009666BB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(09.10.2015թ. N </w:t>
            </w:r>
            <w:r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>ԱՄ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/11.2/11703-15</w:t>
            </w: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:rsidR="007306FF" w:rsidRPr="00DD2E6C" w:rsidRDefault="007306FF" w:rsidP="00BA2237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6120" w:type="dxa"/>
          </w:tcPr>
          <w:p w:rsidR="007306FF" w:rsidRPr="00DD2E6C" w:rsidRDefault="007306FF" w:rsidP="009666BB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A02529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ախագծ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վերաբերյալ </w:t>
            </w:r>
            <w:r w:rsidRPr="00DD2E6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 և առարկություններ չկան:</w:t>
            </w:r>
          </w:p>
          <w:p w:rsidR="007306FF" w:rsidRPr="00DD2E6C" w:rsidRDefault="007306FF" w:rsidP="009666BB">
            <w:pPr>
              <w:ind w:firstLine="52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760" w:type="dxa"/>
          </w:tcPr>
          <w:p w:rsidR="007306FF" w:rsidRPr="00DD2E6C" w:rsidRDefault="007306FF" w:rsidP="00BA2237">
            <w:pPr>
              <w:spacing w:before="1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2E6C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7306FF" w:rsidRPr="00EF19C6" w:rsidTr="00381518">
        <w:trPr>
          <w:trHeight w:val="3509"/>
        </w:trPr>
        <w:tc>
          <w:tcPr>
            <w:tcW w:w="4140" w:type="dxa"/>
          </w:tcPr>
          <w:p w:rsidR="007306FF" w:rsidRPr="00DD2E6C" w:rsidRDefault="007306FF" w:rsidP="009666BB">
            <w:pPr>
              <w:tabs>
                <w:tab w:val="left" w:pos="342"/>
              </w:tabs>
              <w:spacing w:before="1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ՀՀ գյուղատնտեսության նախարարություն</w:t>
            </w:r>
          </w:p>
          <w:p w:rsidR="007306FF" w:rsidRPr="00DD2E6C" w:rsidRDefault="007306FF" w:rsidP="007306FF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(09.</w:t>
            </w: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09</w:t>
            </w: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.2015թ. N </w:t>
            </w:r>
            <w:r w:rsidRPr="00DD2E6C">
              <w:rPr>
                <w:rFonts w:ascii="GHEA Grapalat" w:hAnsi="GHEA Grapalat" w:cs="Sylfaen"/>
                <w:sz w:val="24"/>
                <w:szCs w:val="24"/>
              </w:rPr>
              <w:t>ՍԿ</w:t>
            </w:r>
            <w:r w:rsidRPr="00DD2E6C">
              <w:rPr>
                <w:rFonts w:ascii="GHEA Grapalat" w:hAnsi="GHEA Grapalat"/>
                <w:sz w:val="24"/>
                <w:szCs w:val="24"/>
              </w:rPr>
              <w:t>/</w:t>
            </w:r>
            <w:r w:rsidRPr="00DD2E6C">
              <w:rPr>
                <w:rFonts w:ascii="GHEA Grapalat" w:hAnsi="GHEA Grapalat" w:cs="Sylfaen"/>
                <w:sz w:val="24"/>
                <w:szCs w:val="24"/>
              </w:rPr>
              <w:t>ԳՂ</w:t>
            </w:r>
            <w:r w:rsidRPr="00DD2E6C">
              <w:rPr>
                <w:rFonts w:ascii="GHEA Grapalat" w:hAnsi="GHEA Grapalat"/>
                <w:sz w:val="24"/>
                <w:szCs w:val="24"/>
              </w:rPr>
              <w:t>-1/6247-15</w:t>
            </w: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:rsidR="007306FF" w:rsidRPr="00DD2E6C" w:rsidRDefault="007306FF" w:rsidP="009666BB">
            <w:pPr>
              <w:tabs>
                <w:tab w:val="left" w:pos="342"/>
              </w:tabs>
              <w:spacing w:before="1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7306FF" w:rsidRPr="00DD2E6C" w:rsidRDefault="007306FF" w:rsidP="009666BB">
            <w:pPr>
              <w:tabs>
                <w:tab w:val="left" w:pos="342"/>
              </w:tabs>
              <w:spacing w:before="1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:rsidR="00D602E7" w:rsidRPr="00DD2E6C" w:rsidRDefault="006F5C75" w:rsidP="006F5C75">
            <w:pPr>
              <w:tabs>
                <w:tab w:val="left" w:pos="612"/>
              </w:tabs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DD2E6C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ախագծի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առաջարկվում</w:t>
            </w:r>
            <w:r w:rsidR="00D602E7"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է.</w:t>
            </w:r>
          </w:p>
          <w:p w:rsidR="000F703D" w:rsidRPr="00DD2E6C" w:rsidRDefault="000F703D" w:rsidP="001F1CC1">
            <w:pPr>
              <w:numPr>
                <w:ilvl w:val="0"/>
                <w:numId w:val="25"/>
              </w:numPr>
              <w:ind w:left="0" w:firstLine="432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1-ին կետի 1-ին ենթակետով հաստատվող N 1 հավելվածի.</w:t>
            </w:r>
          </w:p>
          <w:p w:rsidR="003A7F96" w:rsidRPr="00DD2E6C" w:rsidRDefault="003A7F96" w:rsidP="007A34D0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կետի 1-ին ենթակետում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 w:cs="GHEA Grapalat"/>
                <w:sz w:val="24"/>
                <w:szCs w:val="24"/>
              </w:rPr>
              <w:t>արտադրական</w:t>
            </w:r>
            <w:r w:rsidRPr="00DD2E6C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D2E6C">
              <w:rPr>
                <w:rFonts w:ascii="GHEA Grapalat" w:hAnsi="GHEA Grapalat" w:cs="GHEA Grapalat"/>
                <w:sz w:val="24"/>
                <w:szCs w:val="24"/>
              </w:rPr>
              <w:t>հզորությունների</w:t>
            </w:r>
            <w:r w:rsidRPr="00DD2E6C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D2E6C">
              <w:rPr>
                <w:rFonts w:ascii="GHEA Grapalat" w:hAnsi="GHEA Grapalat" w:cs="GHEA Grapalat"/>
                <w:sz w:val="24"/>
                <w:szCs w:val="24"/>
              </w:rPr>
              <w:t>գտնվելու</w:t>
            </w:r>
            <w:r w:rsidRPr="00DD2E6C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D2E6C">
              <w:rPr>
                <w:rFonts w:ascii="GHEA Grapalat" w:hAnsi="GHEA Grapalat" w:cs="GHEA Grapalat"/>
                <w:sz w:val="24"/>
                <w:szCs w:val="24"/>
              </w:rPr>
              <w:t>վայրը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 բառերը փոխարինել գործունեության իրականացման վայրը բառերով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0801B3" w:rsidRPr="00DD2E6C" w:rsidRDefault="000801B3" w:rsidP="008C4259">
            <w:pPr>
              <w:pStyle w:val="ListParagraph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A7F96" w:rsidRPr="00DD2E6C" w:rsidRDefault="003A7F96" w:rsidP="007A34D0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կետը համապատասխանեցնել Օրենքի 41-րդ հոդվածի 4-րդ մասի պահանջներին, </w:t>
            </w:r>
          </w:p>
          <w:p w:rsidR="000801B3" w:rsidRPr="00DD2E6C" w:rsidRDefault="000801B3" w:rsidP="008C4259">
            <w:pPr>
              <w:pStyle w:val="ListParagraph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A7F96" w:rsidRPr="00DD2E6C" w:rsidRDefault="003A7F96" w:rsidP="007A34D0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տեքստում հստակեցնել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լիազոր մարմին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վերադաս մաքսային մարմին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հասկացությունների կիրառումը, հաշվի առնելով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Մաքսային ծառայության մասին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6-րդ հոդվածի 1-ին մասի դրույթը</w:t>
            </w:r>
            <w:r w:rsidR="009E357A" w:rsidRPr="009E35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776C62" w:rsidRPr="00DD2E6C" w:rsidRDefault="00776C62" w:rsidP="00776C62">
            <w:pPr>
              <w:pStyle w:val="ListParagraph"/>
              <w:numPr>
                <w:ilvl w:val="0"/>
                <w:numId w:val="25"/>
              </w:numPr>
              <w:tabs>
                <w:tab w:val="left" w:pos="972"/>
              </w:tabs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1-ին կետի 2-րդ ենթակետով հաստատվող N 2 հավելվածի</w:t>
            </w:r>
            <w:r w:rsidR="006F5C75" w:rsidRPr="00DD2E6C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</w:p>
          <w:p w:rsidR="00776C62" w:rsidRPr="00DD2E6C" w:rsidRDefault="00776C62" w:rsidP="007A34D0">
            <w:pPr>
              <w:pStyle w:val="ListParagraph"/>
              <w:numPr>
                <w:ilvl w:val="0"/>
                <w:numId w:val="29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 xml:space="preserve">17-րդ կետում հստակեցնել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պատշաճ մարմին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հասկացությունը, ինչպես նաև կետն ամբողջությամբ խմբագրել, հաշվի առնելով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Հավատարմագրման մասին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դրույթները,</w:t>
            </w:r>
          </w:p>
          <w:p w:rsidR="00E614A9" w:rsidRPr="00DD2E6C" w:rsidRDefault="00E614A9" w:rsidP="00E614A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E614A9" w:rsidRPr="00DD2E6C" w:rsidRDefault="00E614A9" w:rsidP="00E614A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776C62" w:rsidRPr="00DD2E6C" w:rsidRDefault="00776C62" w:rsidP="007A34D0">
            <w:pPr>
              <w:pStyle w:val="ListParagraph"/>
              <w:numPr>
                <w:ilvl w:val="0"/>
                <w:numId w:val="29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D2E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կետերի 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համարակալումը ճշտել։ </w:t>
            </w:r>
          </w:p>
          <w:p w:rsidR="00D602E7" w:rsidRPr="00DD2E6C" w:rsidRDefault="00D602E7" w:rsidP="001F1CC1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5760" w:type="dxa"/>
          </w:tcPr>
          <w:p w:rsidR="00D56793" w:rsidRPr="00DD2E6C" w:rsidRDefault="00D56793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6F5C75" w:rsidRPr="00DD2E6C" w:rsidRDefault="006F5C75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6F5C75" w:rsidRPr="00DD2E6C" w:rsidRDefault="006F5C75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DD2E6C" w:rsidRDefault="001F1CC1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="00023532" w:rsidRPr="00DD2E6C">
              <w:rPr>
                <w:rFonts w:ascii="GHEA Grapalat" w:hAnsi="GHEA Grapalat"/>
                <w:sz w:val="24"/>
                <w:szCs w:val="24"/>
                <w:lang w:val="pt-BR"/>
              </w:rPr>
              <w:t>կա</w:t>
            </w: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>տարվել է համապատասխան փոփոխություն:</w:t>
            </w:r>
          </w:p>
          <w:p w:rsidR="000801B3" w:rsidRPr="00DD2E6C" w:rsidRDefault="000801B3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0801B3" w:rsidRPr="00DD2E6C" w:rsidRDefault="000801B3" w:rsidP="000801B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D2E6C" w:rsidRDefault="00DD2E6C" w:rsidP="000801B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0801B3" w:rsidRPr="00DD2E6C" w:rsidRDefault="000801B3" w:rsidP="000801B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0801B3" w:rsidRPr="00DD2E6C" w:rsidRDefault="000801B3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</w:p>
          <w:p w:rsidR="00576093" w:rsidRPr="00DD2E6C" w:rsidRDefault="00576093" w:rsidP="005760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 xml:space="preserve">Ընդունվել է, </w:t>
            </w:r>
            <w:r w:rsidR="0015600D" w:rsidRPr="00DD2E6C">
              <w:rPr>
                <w:rFonts w:ascii="GHEA Grapalat" w:hAnsi="GHEA Grapalat"/>
                <w:sz w:val="24"/>
                <w:szCs w:val="24"/>
                <w:lang w:val="pt-BR"/>
              </w:rPr>
              <w:t>կ</w:t>
            </w: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>ատարվել է համապատասխան փոփոխություն:</w:t>
            </w:r>
          </w:p>
          <w:p w:rsidR="000801B3" w:rsidRPr="00DD2E6C" w:rsidRDefault="000801B3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DD2E6C" w:rsidRDefault="001F1CC1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DD2E6C" w:rsidRDefault="001F1CC1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DD2E6C" w:rsidRDefault="001F1CC1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D2E6C" w:rsidRDefault="00DD2E6C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DD2E6C" w:rsidRDefault="00023532" w:rsidP="00D56793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 մասամբ: Նախագծի N 2 հավելվածի 17-րդ կետում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DD2E6C">
              <w:rPr>
                <w:rFonts w:ascii="GHEA Grapalat" w:hAnsi="GHEA Grapalat"/>
                <w:sz w:val="24"/>
                <w:szCs w:val="24"/>
                <w:lang w:val="hy-AM"/>
              </w:rPr>
              <w:t>պատշաճ մարմին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հասկացություն չկա, դիտողությունը սխալ է, իսկ դիտողության 2-րդ մասն ընդունվել է և կատարվել է համապատասխան փոփոխություն: </w:t>
            </w:r>
          </w:p>
          <w:p w:rsidR="00E614A9" w:rsidRPr="00DD2E6C" w:rsidRDefault="00E614A9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DD2E6C" w:rsidRDefault="00D105E0" w:rsidP="00DD2E6C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="00204407" w:rsidRPr="00DD2E6C">
              <w:rPr>
                <w:rFonts w:ascii="GHEA Grapalat" w:hAnsi="GHEA Grapalat"/>
                <w:sz w:val="24"/>
                <w:szCs w:val="24"/>
                <w:lang w:val="pt-BR"/>
              </w:rPr>
              <w:t>տեխնիկական վրիպակն ուղղվել է</w:t>
            </w:r>
            <w:r w:rsidRPr="00DD2E6C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</w:tc>
      </w:tr>
      <w:tr w:rsidR="00DD2E6C" w:rsidRPr="00EF19C6" w:rsidTr="00381518">
        <w:trPr>
          <w:trHeight w:val="3509"/>
        </w:trPr>
        <w:tc>
          <w:tcPr>
            <w:tcW w:w="4140" w:type="dxa"/>
          </w:tcPr>
          <w:p w:rsidR="00DD2E6C" w:rsidRPr="00DD2E6C" w:rsidRDefault="00DD2E6C" w:rsidP="00DD2E6C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ՀՀ արդարադատության նախարարություն</w:t>
            </w:r>
          </w:p>
          <w:p w:rsidR="00DD2E6C" w:rsidRPr="0099462A" w:rsidRDefault="00DD2E6C" w:rsidP="00DD2E6C">
            <w:pPr>
              <w:tabs>
                <w:tab w:val="left" w:pos="342"/>
              </w:tabs>
              <w:spacing w:before="10"/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</w:pP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(12.11.2015թ. N </w:t>
            </w:r>
            <w:r w:rsidRPr="00DD2E6C">
              <w:rPr>
                <w:rFonts w:ascii="GHEA Grapalat" w:hAnsi="GHEA Grapalat"/>
                <w:sz w:val="24"/>
                <w:szCs w:val="24"/>
                <w:lang w:val="af-ZA"/>
              </w:rPr>
              <w:t>01/14/14012-15</w:t>
            </w:r>
            <w:r w:rsidRPr="00DD2E6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)</w:t>
            </w:r>
          </w:p>
        </w:tc>
        <w:tc>
          <w:tcPr>
            <w:tcW w:w="6120" w:type="dxa"/>
          </w:tcPr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C17FC7">
              <w:rPr>
                <w:rFonts w:ascii="GHEA Grapalat" w:hAnsi="GHEA Grapalat"/>
                <w:sz w:val="24"/>
                <w:szCs w:val="24"/>
              </w:rPr>
              <w:t>իծը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C17FC7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ւմ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C17FC7">
              <w:rPr>
                <w:rFonts w:ascii="GHEA Grapalat" w:hAnsi="GHEA Grapalat"/>
                <w:sz w:val="24"/>
                <w:szCs w:val="24"/>
              </w:rPr>
              <w:t>ը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C17FC7" w:rsidRPr="00C17FC7" w:rsidRDefault="00C17FC7" w:rsidP="00C17FC7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2. 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C17FC7">
              <w:rPr>
                <w:rFonts w:ascii="GHEA Grapalat" w:hAnsi="GHEA Grapalat"/>
                <w:sz w:val="24"/>
                <w:szCs w:val="24"/>
              </w:rPr>
              <w:t>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ծը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</w:rPr>
              <w:t>չի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ւմ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բարձր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Այսպես՝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C17FC7" w:rsidRPr="00C17FC7" w:rsidRDefault="00C17FC7" w:rsidP="00C17FC7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1/ «Իրավական ակտերի մասին» Հայաստանի Հանրապետության օրենքի 14-րդ հոդվածի համաձայն՝ Հայաստանի Հանրապետության կառավարությունն ընդունում է որոշումներ միայն Հայաստանի Հանրապետության Սահմանադրությամբ և Հայաստանի Հանրապետության օրենքներով իրեն վերապահված լիազորությունների շրջանակում: Նախագծի նախաբանում հղում է կատարվում «Մաքսային կարգավորման մասին» Հայաստանի Հանրապետության օրենքի 191-րդ հոդվածին, որի 2-րդ մասի համաձայն՝ «Վերամշակում՝ մաքսային տարածքում» մաքսային ընթացակարգով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ապրանքների ձևակերպման համար մաքսային հայտարարագիրը մաքսային մարմին է ներկայացնում մաքսային տարածքում ապրանքների վերամշակման համար </w:t>
            </w:r>
            <w:r w:rsidRPr="00C17FC7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Հայաստանի Հանրապետության կառավարության սահմանած կարգով թույլտվություն ստացած անձը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կամ անմիջականորեն ապրանքների վերամշակման գործողություն իրականացնող անձը։ Մինչդեռ «Մաքսային կարգավորման մասին» Հայաստանի Հանրապետության օրենքի 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>32-րդ գլխի («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Վերամշակում՝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մաքսային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տարածքից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դուրս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մաքսային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ընթացակարգը) և 33-րդ գլխի («Վերամշակում՝ ներքին սպառման համար» մաքսային ընթացակարգը) մեջ սահմանված չէ, որ Հայաստանի Հանրապետության կառավարությունն է սահմանում մաքսային տարածքից դուրս ապրանքների վերամշակման համար թույլտվության և ներքին սպառման համար ապրանքների վերամշակման թույլտվության տրման կարգերը: Այդ առումով վերոնշյալ կարգերի մասով նախագիծը չի համապատասխանում «Իրավական ակտերի մասին» Հայաստանի Հանրապետության օրենքի 14-րդ հոդվածի պահանջներին: </w:t>
            </w:r>
          </w:p>
          <w:p w:rsidR="00C17FC7" w:rsidRPr="00C17FC7" w:rsidRDefault="00C17FC7" w:rsidP="00C17FC7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Ելնելով վերոգրյալից՝ գտնում ենք, որ նախագծի նախաբանի հղումն անհրաժեշտ է համապատասխանեցնել «Իրավական ակտերի մասին» Հայաստանի Հանրապետության օրենքի 14-րդ և 43-րդ հոդվածների պահանջներին:</w:t>
            </w:r>
          </w:p>
          <w:p w:rsidR="00C17FC7" w:rsidRPr="00C17FC7" w:rsidRDefault="00C17FC7" w:rsidP="00C17FC7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3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առկա չեն:</w:t>
            </w:r>
          </w:p>
          <w:p w:rsidR="00C17FC7" w:rsidRPr="00C17FC7" w:rsidRDefault="00C17FC7" w:rsidP="00C17FC7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4.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C17FC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ծն իր մեջ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կարգավորման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C17F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 որևէ կոռուպցիոն գործոն չի պարունակում: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5.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Օրենսդրական տեխնիկայի կանոնները մասամբ պահպանված չեն: Այսպես` 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1/ Նախագծի 1-ին կետի 1-ին ենթակետով հաստատվող 1-ին հավելվածի (այսուհետ՝ 1-ին հավելված) 1-ին կետում «կարգավորում» բառն անհրաժեշտ է փոխարինել «կարգավորվում» բառով` նկատի ունենալով «Իրավական ակտերի մասին» Հայաստանի Հանրապետության օրենքի 36-րդ հոդվածի դրույթները: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2/ Նախագծի N1 ձևում «վերամշակման գործունեության» բառերից հետո «իրականացման հասցեն» բառերն անհրաժեշտ է փոխարինել «իրականացման վայրը» բառերով՝ նկատի ունենալով ՀՀ քաղաքացիական օրենսգրքի պահանջները: Նույն դիտողությունը վերաբերում է նաև նախագծի N3 ձևին: 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3/ Նախագծի N1 ձևի կետերի համարակալումն անհրաժեշտ է վերանայել՝ նկատի ունենալով «Իրավական ակտերի մասին» Հայաստանի Հանրապետության օրենքի 41-րդ հոդվածի դրույթները: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Նախագծում առկա են հստակեցման և խմբագրման կարիք ունեցող դրույթներ: Այսպես՝ 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1/ Նախագծի 1-ին հավելվածի 2-րդ կետում անհրաժեշտ է հստակեցնել, թե ով է տվյալ կարգի իմաստով հանդիսանում հայտատու: Նույն դիտողությունը վերաբերում է նաև նախագծի 1-ին կետի 2-րդ ենթակետով հաստատվող 2-րդ հավելվածի (այսուհետ՝ 2-րդ հավելված) 3-րդ կետին: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2/ Նախագծի 1-ին հավելվածի 2-րդ կետում «ստանալու նպատակով» բառերից առաջ անհրաժեշտ է լրացնել «(այսուհետ՝ թույլտվություն)» բառերը, «թղթային եղանակով» բառերից հետո «լիազոր մարմին» բառերն անհրաժեշտ է փոխարինել «Հայաստանի Հանրապետության ֆինանսների նախարարություն (այսուհետ՝ լիազոր մարմին)» բառերով, 3-րդ կետում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Մաքսային միության տարածքում ապրանքների վերամշակման թույլտվություն կամ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ներքին սպառման համար ապրանքների վերամշակման թույլտվություն (այսուհետ` թույլտվություն)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բառերն անհրաժեշտ է փոխարինել «Թ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ույլտվություն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բառով, 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բառերն անհրաժեշտ է փոխարինել «լիազոր մարմին» բառերով՝ նկատի ունենալով «Իրավական ակտերի մասին» Հայաստանի Հանրապետության օրենքի 36-րդ հոդվածի դրույթները: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3/ Նախագծի 1-ին հավելվածի 5-րդ կետում «մաքսային մարմնում» բառերն անհրաժեշտ է փոխարինել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լիազոր մարմնի կազմում գտնվող մաքսային մարմն</w:t>
            </w:r>
            <w:r w:rsidRPr="00C17FC7">
              <w:rPr>
                <w:rFonts w:ascii="GHEA Grapalat" w:hAnsi="GHEA Grapalat"/>
                <w:sz w:val="24"/>
                <w:szCs w:val="24"/>
              </w:rPr>
              <w:t>ում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(այսուհետ` մաքսային մարմին)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», 11-րդ կետում «վերադաս մաքսային մարմնի» բառերն անհրաժեշտ է փոխարինել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մաքսային մարմնի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բառերով, 14-րդ կետում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լիազոր մարմնի կազմում գտնվող մաքսային մարմնի (այսուհետ` մաքսային մարմին)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բառերն անհրաժեշտ է փոխարինել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մաքսային մարմ</w:t>
            </w:r>
            <w:r w:rsidRPr="00C17FC7">
              <w:rPr>
                <w:rFonts w:ascii="GHEA Grapalat" w:hAnsi="GHEA Grapalat"/>
                <w:sz w:val="24"/>
                <w:szCs w:val="24"/>
              </w:rPr>
              <w:t>նի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բառերով՝ նկատի ունենալով «Իրավական ակտերի մասին» Հայաստանի Հանրապետության օրենքի 36-րդ հոդվածի դրույթները: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4/ Նախագծի 2-րդ հավելվածի 3-րդ կետում «թղթային եղանակով» բառերից հետո «լիազոր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մարմին» բառերն անհրաժեշտ է փոխարինել «Հայաստանի Հանրապետության ֆինանսների նախարարություն (այսուհետ՝ լիազոր մարմին)» բառերով՝ նկատի ունենալով «Իրավական ակտերի մասին» Հայաստանի Հանրապետության օրենքի 36-րդ հոդվածի դրույթները: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5/ Նախագծի 2-րդ հավելվածի 7-րդ կետում «մաքսային մարմնում» բառերն առաջարկում ենք փոխարինել «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լիազոր մարմնի կազմում գտնվող մաքսային մարմն</w:t>
            </w:r>
            <w:r w:rsidRPr="00C17FC7">
              <w:rPr>
                <w:rFonts w:ascii="GHEA Grapalat" w:hAnsi="GHEA Grapalat"/>
                <w:sz w:val="24"/>
                <w:szCs w:val="24"/>
              </w:rPr>
              <w:t>ում</w:t>
            </w:r>
            <w:r w:rsidRPr="00C17F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7FC7">
              <w:rPr>
                <w:rFonts w:ascii="GHEA Grapalat" w:hAnsi="GHEA Grapalat"/>
                <w:sz w:val="24"/>
                <w:szCs w:val="24"/>
                <w:lang w:val="hy-AM"/>
              </w:rPr>
              <w:t>(այսուհետ` մաքսային մարմին)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բառերով:</w:t>
            </w:r>
          </w:p>
          <w:p w:rsidR="00C17FC7" w:rsidRPr="00C17FC7" w:rsidRDefault="00C17FC7" w:rsidP="00C17FC7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7</w:t>
            </w:r>
            <w:r w:rsidR="00416DAD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Նախագիծն անհրաժեշտ է համապատասխանեցնել սույն եզրակացության 2-րդ, 5-րդ և 6-րդ կետերին:</w:t>
            </w:r>
          </w:p>
          <w:p w:rsidR="00DD2E6C" w:rsidRPr="00C17FC7" w:rsidRDefault="00DD2E6C" w:rsidP="00C17FC7">
            <w:pPr>
              <w:tabs>
                <w:tab w:val="left" w:pos="612"/>
              </w:tabs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760" w:type="dxa"/>
          </w:tcPr>
          <w:p w:rsidR="00DD2E6C" w:rsidRDefault="002E2F62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Ընդունվել է ի գիտություն:</w:t>
            </w:r>
          </w:p>
          <w:p w:rsidR="002E2F62" w:rsidRDefault="002E2F62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E2F62" w:rsidRDefault="002E2F62" w:rsidP="00D5679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E2F62" w:rsidRDefault="002E2F62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Չի ընդունվել, հաշվի առնելով </w:t>
            </w:r>
            <w:r w:rsidR="008541BD">
              <w:rPr>
                <w:rFonts w:ascii="GHEA Grapalat" w:hAnsi="GHEA Grapalat"/>
                <w:sz w:val="24"/>
                <w:szCs w:val="24"/>
                <w:lang w:val="pt-BR"/>
              </w:rPr>
              <w:t>հետևյալը.</w:t>
            </w:r>
          </w:p>
          <w:p w:rsidR="00B225D5" w:rsidRDefault="008541BD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Հանրապետության` 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Եվրասիական տնտեսական միության</w:t>
            </w:r>
            <w:r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մասին»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2014 թվականի </w:t>
            </w:r>
            <w:r w:rsidRP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>մայիսի 29-ի պայմանագրին միանալու մասին» 2014 թվականի հոկտեմբերի 10-ի պայմանագրի (այսուհետ` Պայմանագիր) 2-րդ հոդվածի համաձայն, մասնավորապես` Պայմանագիրն ուժի մեջ մտնելու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ամսաթվից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ակտերը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գործում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Պայմանագիրն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ուժի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մտնելու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ամսաթվից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Պայմանագրի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հավելվածով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718">
              <w:rPr>
                <w:rFonts w:ascii="GHEA Grapalat" w:hAnsi="GHEA Grapalat" w:cs="Sylfaen"/>
                <w:sz w:val="24"/>
                <w:szCs w:val="24"/>
              </w:rPr>
              <w:t>դրույթները</w:t>
            </w:r>
            <w:r w:rsidRPr="0008371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083718">
              <w:rPr>
                <w:lang w:val="af-ZA"/>
              </w:rPr>
              <w:t xml:space="preserve"> </w:t>
            </w:r>
            <w:r w:rsidR="00083718">
              <w:rPr>
                <w:rFonts w:ascii="Sylfaen" w:hAnsi="Sylfaen"/>
                <w:lang w:val="af-ZA"/>
              </w:rPr>
              <w:t xml:space="preserve">Միաժամանակ, 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Հանրապետության` </w:t>
            </w:r>
            <w:r w:rsidR="00083718"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>Մաքսային միության</w:t>
            </w:r>
            <w:r w:rsidR="00083718"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մաքսային օրենսգրքի </w:t>
            </w:r>
            <w:r w:rsidR="00083718"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մասին»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2009 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թվականի նոյեմբերի 27-ի պայմանագրի անբաժանելի մաս համարվող Մաքսային միության մաքսային օրենսգրքի (այսուհետ` </w:t>
            </w:r>
            <w:r w:rsidR="0099462A">
              <w:rPr>
                <w:rFonts w:ascii="GHEA Grapalat" w:hAnsi="GHEA Grapalat" w:cs="Sylfaen"/>
                <w:sz w:val="24"/>
                <w:szCs w:val="24"/>
                <w:lang w:val="af-ZA"/>
              </w:rPr>
              <w:t>Օ</w:t>
            </w:r>
            <w:r w:rsidR="00083718">
              <w:rPr>
                <w:rFonts w:ascii="GHEA Grapalat" w:hAnsi="GHEA Grapalat" w:cs="Sylfaen"/>
                <w:sz w:val="24"/>
                <w:szCs w:val="24"/>
                <w:lang w:val="af-ZA"/>
              </w:rPr>
              <w:t>րենսգիրք)</w:t>
            </w:r>
            <w:r w:rsidR="00B23AF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257-րդ հոդվածի 4-րդ մասի համաձայն` </w:t>
            </w:r>
            <w:r w:rsidR="00B23AF7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մաքսային տարածքից դուրս ապրանքների վերամշակման պայմանների մասին կամ փաստաթղթի տրման, դրանում փոփոխությունների և լրացումների կատարման, ինչպես նաև այն չեղարկելու (չեղյալ հայտարարելու) ձևը և կարգը </w:t>
            </w:r>
            <w:r w:rsidR="00B23AF7" w:rsidRPr="00040E9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սահմանվում են</w:t>
            </w:r>
            <w:r w:rsidR="00B23AF7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23AF7" w:rsidRPr="00040E9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Մաքսային միության անդամ պետությունների օրենսդրությամբ</w:t>
            </w:r>
            <w:r w:rsidR="00B23AF7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="00040E99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«Վերամշակում՝ ներքին սպառման համար» մաքսային ընթացակարգի կիրառման շրջանակներում </w:t>
            </w:r>
            <w:r w:rsid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երքին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սպառման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համար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ապրանքների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վերամշակման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պայմանների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մասին</w:t>
            </w:r>
            <w:r w:rsidR="00040E99" w:rsidRPr="00040E99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40E99" w:rsidRPr="00040E9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փաստաթղթի տրամադրման համար</w:t>
            </w:r>
            <w:r w:rsidR="00040E99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համանման դրույթ է սահմանված նաև օրենսգրքի </w:t>
            </w:r>
            <w:r w:rsidR="00B23AF7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>269-րդ հոդվածի 4-րդ մաս</w:t>
            </w:r>
            <w:r w:rsidR="00040E99" w:rsidRPr="00040E99">
              <w:rPr>
                <w:rFonts w:ascii="GHEA Grapalat" w:hAnsi="GHEA Grapalat" w:cs="Sylfaen"/>
                <w:sz w:val="24"/>
                <w:szCs w:val="24"/>
                <w:lang w:val="af-ZA"/>
              </w:rPr>
              <w:t>ում:</w:t>
            </w:r>
            <w:r w:rsidR="004E069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Միաժամանակ, հարկ է նկատի ունենալ, որ </w:t>
            </w:r>
            <w:r w:rsidR="004E069C" w:rsidRPr="00C17F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«Մաքսային կարգավորման մասին» </w:t>
            </w:r>
            <w:r w:rsidR="004E069C">
              <w:rPr>
                <w:rFonts w:ascii="GHEA Grapalat" w:hAnsi="GHEA Grapalat" w:cs="Sylfaen"/>
                <w:sz w:val="24"/>
                <w:szCs w:val="24"/>
                <w:lang w:val="af-ZA"/>
              </w:rPr>
              <w:t>ՀՀ օրենքի 198-րդ և 210-րդ հոդվածների համաձայն` վերոնշյալ ընթացակարգերով ձևակերպումը հնարավոր է միայն համապատասխան թույլտվության առկայության պարագայում:</w:t>
            </w:r>
          </w:p>
          <w:p w:rsidR="00B225D5" w:rsidRDefault="00B225D5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225D5" w:rsidRDefault="00B225D5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225D5" w:rsidRDefault="00B225D5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225D5" w:rsidRDefault="00B225D5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23C2F" w:rsidRDefault="00B225D5" w:rsidP="002B363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գիտություն:</w:t>
            </w:r>
          </w:p>
          <w:p w:rsidR="008541BD" w:rsidRPr="00040E99" w:rsidRDefault="004E069C" w:rsidP="002B363B">
            <w:pPr>
              <w:jc w:val="both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</w:p>
          <w:p w:rsidR="00E23C2F" w:rsidRDefault="00E23C2F" w:rsidP="00E23C2F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գիտություն:</w:t>
            </w:r>
          </w:p>
          <w:p w:rsidR="008541BD" w:rsidRDefault="008541BD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23535" w:rsidRDefault="00C23535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4E069C" w:rsidRDefault="004E069C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E23C2F" w:rsidRDefault="00E23C2F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4E069C" w:rsidRDefault="004E069C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11FFE" w:rsidRDefault="00911FFE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11FFE" w:rsidRDefault="00911FFE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11FFE" w:rsidRDefault="00911FFE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11FFE" w:rsidRDefault="00911FFE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11FFE" w:rsidRDefault="00911FFE" w:rsidP="00911FFE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911FFE" w:rsidRDefault="00911FFE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AA7647" w:rsidRDefault="00AA7647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AA7647" w:rsidRDefault="00AA7647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AA7647" w:rsidRDefault="00AA7647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AA7647" w:rsidRDefault="00AA7647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AA7647" w:rsidRDefault="00AA7647" w:rsidP="00AA7647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AA7647" w:rsidRDefault="00AA7647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47566" w:rsidRDefault="00B47566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47566" w:rsidRDefault="00B47566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47566" w:rsidRDefault="00B47566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36231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6231B" w:rsidRDefault="0036231B" w:rsidP="0036231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 xml:space="preserve">Ընդունվել է, կատարվել </w:t>
            </w:r>
            <w:r w:rsidR="009F2488">
              <w:rPr>
                <w:rFonts w:ascii="GHEA Grapalat" w:hAnsi="GHEA Grapalat"/>
                <w:sz w:val="24"/>
                <w:szCs w:val="24"/>
                <w:lang w:val="pt-BR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համապատասխան փոփոխություն</w:t>
            </w:r>
            <w:r w:rsidR="009F2488">
              <w:rPr>
                <w:rFonts w:ascii="GHEA Grapalat" w:hAnsi="GHEA Grapalat"/>
                <w:sz w:val="24"/>
                <w:szCs w:val="24"/>
                <w:lang w:val="pt-BR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36231B" w:rsidRDefault="0036231B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62518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են համապատասխան փոփոխություններ:</w:t>
            </w: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62518" w:rsidRDefault="00262518" w:rsidP="00262518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262518" w:rsidRDefault="00262518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C5797A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5797A" w:rsidRDefault="00C5797A" w:rsidP="00C5797A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են համապատասխան փոփոխություններ:</w:t>
            </w:r>
          </w:p>
          <w:p w:rsidR="00C5797A" w:rsidRPr="00DD2E6C" w:rsidRDefault="00C5797A" w:rsidP="002B363B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99462A" w:rsidRPr="00EF19C6" w:rsidTr="00381518">
        <w:trPr>
          <w:trHeight w:val="3509"/>
        </w:trPr>
        <w:tc>
          <w:tcPr>
            <w:tcW w:w="4140" w:type="dxa"/>
          </w:tcPr>
          <w:p w:rsidR="0099462A" w:rsidRPr="0099462A" w:rsidRDefault="0099462A" w:rsidP="00BA2237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ՀՀ կառավարության աշխատակազմի իրավաբանական վարչություն</w:t>
            </w:r>
          </w:p>
          <w:p w:rsidR="0099462A" w:rsidRPr="0099462A" w:rsidRDefault="0099462A" w:rsidP="00BA2237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(29.12.15թ. N 02/23.2/22472-15)</w:t>
            </w:r>
          </w:p>
        </w:tc>
        <w:tc>
          <w:tcPr>
            <w:tcW w:w="6120" w:type="dxa"/>
          </w:tcPr>
          <w:p w:rsidR="0099462A" w:rsidRPr="0099462A" w:rsidRDefault="0099462A" w:rsidP="0099462A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ind w:left="0" w:firstLine="360"/>
              <w:jc w:val="both"/>
              <w:textAlignment w:val="baseline"/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</w:pPr>
            <w:r w:rsidRPr="0099462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նախաբանում նշված 244-րդ, 257-րդ և 269-րդ հոդվածները հանդիսանում են մաքսային միության մաքսային օրենսգրքի հոդվածներ, այլ ոչ </w:t>
            </w:r>
            <w:r w:rsidRPr="0099462A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Մաքսային միության մաքսային օրենսգրքի մասին 2009 թվականի նոյեմբերի 27-ի պայմանագրի:</w:t>
            </w:r>
          </w:p>
          <w:p w:rsidR="0099462A" w:rsidRPr="0099462A" w:rsidRDefault="0099462A" w:rsidP="0099462A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ind w:left="0" w:firstLine="360"/>
              <w:jc w:val="both"/>
              <w:textAlignment w:val="baseline"/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</w:pPr>
            <w:r w:rsidRPr="0099462A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վերաբերյալ առկա են 2015 թվականի դեկտեմբերի 6-ին հանրաքվեի խմբագրությամբ ՀՀ Սահմանադրության (այսուհետ՝ Սահմանադրություն) դրույթներին անհամապատասխանության խնդիրներ, մասնավորապես.</w:t>
            </w:r>
          </w:p>
          <w:p w:rsidR="00D31FB7" w:rsidRDefault="0099462A" w:rsidP="00D31F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2"/>
                <w:tab w:val="left" w:pos="972"/>
              </w:tabs>
              <w:ind w:left="0" w:firstLine="3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462A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1-ին կետի համաձայն առաջարկվում է հաստատել «Վերամշակում` մաքսային տարածքում», «Վերամշակում` ներքին սպառման համար» մաքսային ընթացակարգերով ներմուծվող ապրանքների ձևակերպման համար թույլտվությունների ստացման կարգը: Այս առումով հարկ է ի նկատի ունենալ, որ Սահմանադրության 6-</w:t>
            </w:r>
            <w:r w:rsidRPr="0099462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րդ հոդվածի համաձայն ենթաօրենսդրական նորմատիվ իրական ակտերը կարող են ընդունվել Սահմանադրության և օրենքների՝ իրավական որոշակիության սկզբունքին համապատասխանող լիազորող նորմերի առկայության դեպքում՝ Սահմանադրության և օրենքների իրականացումն ապահովելու նպատակով։ Տվյալ պարագայում «Մաքսային կարգավորման մասին» ՀՀ օրենքի (այսուհետ՝ օրենք) 191-րդ հոդվածը սահմանում է, որր «Վերամշակում՝ մաքսային տարածքում» մաքսային ընթացակարգով ապրանքների ձևակերպման համար մաքսային հայտարարագիրը մաքսային մարմին է ներկայացնում մաքսային տարածքում ապրանքների վերամշակման համար ՀՀ կառավարության սահմանած կարգով թույլտվություն ստացած անձը կամ անմիջականորեն ապրանքների վերամշակման գործողություն իրականացնող անձը։ «Վերամշակում` ներքին սպառման համար» մաքսային ընթացակարգի էությունը և դրա շրջանակներում ապրանքների ձևակերպման պայմանները սահմանող 205-րդ հոդվածը որևէ թույլտվության ստացման կարգի վերաբերյալ դրույթներ չի պարունակում: Ավելին, oրենքի 210 հոդվածը սահմանում է, որ Միության մաքսային օրենսգրքի 265-րդ և 269-րդ հոդվածներով նախատեսված՝ «Վերամշակում՝ ներքին սպառման համար» մաքսային ընթացակարգի շրջանակներում ապրանքների վերամշակման պայմանների մասին փաստաթուղթը ներքին սպառման համար ապրանքների վերամշակման թույլտվությունն է։ Նույն հոդվածով սահմանվում է նաև այդ թույլտվության տրման ընթացակարգը: Հարկ է նաև նշել, որ Միության մաքսային օրենսգրքի վկայակոչված որևէ դրույթ ՀՀ կառավարության </w:t>
            </w:r>
            <w:r w:rsidRPr="0099462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որոշակի լիազրություն չի պարունակում, այլ ընդամենը հղում է կատարում ներպետական օրենսդրությանը առհասարակ: Այս կապակցությամբ անհրաժեշտ է նշել «Վերամշակում` ներքին սպառման համար» մաքսային ընթացակարգերով ներմուծվող ապրանքների ձևակերպման համար թույլտվությունների ստացման կարգի հաստատման համար հիմք հանդիսացող Սահմանադրության և/կամ օրենքների նորմերը:</w:t>
            </w:r>
          </w:p>
          <w:p w:rsidR="00D31FB7" w:rsidRPr="00D31FB7" w:rsidRDefault="0099462A" w:rsidP="00D31F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2"/>
                <w:tab w:val="left" w:pos="972"/>
              </w:tabs>
              <w:ind w:left="0" w:firstLine="3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1FB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2-րդ կետի համաձայն առաջարկվում է հաստատել </w:t>
            </w:r>
            <w:r w:rsidRPr="00D31FB7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«Վերամշակում` մաքսային տարածքից դուրս» մաքսային ընթացակարգով արտահանվող ապրանքների ձևակերպման համար թույլտվության ստացման կարգը, որի լիազորությունը նույնպես սահմանված չէ օրենքով կամ Սահմանադրությամբ:</w:t>
            </w:r>
          </w:p>
          <w:p w:rsidR="0099462A" w:rsidRPr="00D31FB7" w:rsidRDefault="0099462A" w:rsidP="00D31F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2"/>
                <w:tab w:val="left" w:pos="972"/>
              </w:tabs>
              <w:ind w:left="0" w:firstLine="3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31FB7">
              <w:rPr>
                <w:rFonts w:ascii="GHEA Grapalat" w:eastAsiaTheme="minorEastAsia" w:hAnsi="GHEA Grapalat" w:cs="Sylfaen"/>
                <w:sz w:val="24"/>
                <w:szCs w:val="24"/>
                <w:lang w:val="af-ZA"/>
              </w:rPr>
              <w:t>Նախագծի Հավելված 1-ի 14-րդ կետում և Հավելված 2-ի 16-րդ կետում սահմանվում է մաքսային մարմնի կողմից թույլտվություններում փոփոխություն կատարելու կարգի սահմանման լիազորություն, որը Սահմանադրության 6-րդ հոդվածի համաձայն կարող է տրվել միայն Սահմանադրությամբ կամ օրենքով:</w:t>
            </w:r>
          </w:p>
          <w:p w:rsidR="0036674E" w:rsidRDefault="0036674E" w:rsidP="0036674E">
            <w:pPr>
              <w:pStyle w:val="ListParagraph"/>
              <w:numPr>
                <w:ilvl w:val="0"/>
                <w:numId w:val="30"/>
              </w:numPr>
              <w:ind w:left="0" w:firstLine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36674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Նախագծի 2-րդ կետը չի համապատասխանում «Իրավական ակտերի մասին» ՀՀ օրենքի 46-րդ հոդվածի 2-րդ մասի պահանջներին:</w:t>
            </w:r>
          </w:p>
          <w:p w:rsidR="00421BB7" w:rsidRPr="00421BB7" w:rsidRDefault="00421BB7" w:rsidP="00421BB7">
            <w:pPr>
              <w:pStyle w:val="ListParagraph"/>
              <w:numPr>
                <w:ilvl w:val="0"/>
                <w:numId w:val="30"/>
              </w:numPr>
              <w:ind w:left="0" w:firstLine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421BB7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Նախագծի հավելված 1-ի (սխալմամբ համարակալված է որպես Հավելված 2)՝</w:t>
            </w:r>
          </w:p>
          <w:p w:rsidR="00421BB7" w:rsidRDefault="00421BB7" w:rsidP="00421BB7">
            <w:pPr>
              <w:pStyle w:val="ListParagraph"/>
              <w:numPr>
                <w:ilvl w:val="0"/>
                <w:numId w:val="36"/>
              </w:numPr>
              <w:ind w:left="0" w:firstLine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421BB7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1-ին կետում պարզ չէ, թե ինչ կարգով է տրամադրվելու բացառություն կազմող ապրանքների համար թույլտվությունը: Եթե դրանց համար առկա է օրենքի 193-րդ հոդվածի 3-րդ մասի հիման վրա սահմանված կարգ, ապա առաջարկում ենք հղում </w:t>
            </w:r>
            <w:r w:rsidRPr="00421BB7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կատարել այդ ակտին:</w:t>
            </w: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10BF3" w:rsidRPr="00210BF3" w:rsidRDefault="00210BF3" w:rsidP="00210BF3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F335C5" w:rsidRDefault="00421BB7" w:rsidP="00F335C5">
            <w:pPr>
              <w:pStyle w:val="ListParagraph"/>
              <w:numPr>
                <w:ilvl w:val="0"/>
                <w:numId w:val="36"/>
              </w:numPr>
              <w:ind w:left="0" w:firstLine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421BB7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2-րդ կետը մասամբ չի համապատասխանում օրենքի 195-րդ և 210-րդ հոդվածներին՝ այդ թվում սահմանվում են օրենքով չնախատեսված տվյալների ու փաստաթղթերի ներկայացման պահանջներ:</w:t>
            </w:r>
          </w:p>
          <w:p w:rsidR="00906F2F" w:rsidRDefault="00906F2F" w:rsidP="00906F2F">
            <w:pPr>
              <w:pStyle w:val="ListParagraph"/>
              <w:ind w:left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21BB7" w:rsidRPr="00F335C5" w:rsidRDefault="00421BB7" w:rsidP="00F335C5">
            <w:pPr>
              <w:pStyle w:val="ListParagraph"/>
              <w:numPr>
                <w:ilvl w:val="0"/>
                <w:numId w:val="36"/>
              </w:numPr>
              <w:ind w:left="0" w:firstLine="36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F335C5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9-11-րդ կետերով սահմանված փորձաքննության հիման վրա թույլտվություններն անվավեր ճանաչելու ընթացակարգը խիստ խնդրահարույց է, քանի որ անհասկանալի է, թե օրենքի որ դրույթի հիման վրա է սահմանվում նման կարգավորում: Առաջարկվող մեխանիզմը նաև ստեղծում է խիստ անորոշ իրավիճակ տնտեսվարողի </w:t>
            </w:r>
            <w:r w:rsidRPr="00F335C5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 xml:space="preserve">համար, քանի որ չնայած նրան, որ նա ստանում է թույլտվություն, միևնույն է չսահմանված ժամկետով վտանգվում է նրա թույլտվության վավերությունը: Բացի այդ, «Վարչարարության և վարչական վարույթի մասին» ՀՀ օրեքնի 63-րդ հոդվածը սահմանում է, որ վարչական ակտը կարող է այն ընդունող մարմնի կողմից անվավեր ճանաչվել միայն եթե այն ընդունվել է օրենքի խախտմամբ, այդ թվում` օրենքի սխալ կիրառման կամ սխալ մեկնաբանման հետևանքով, կամ կեղծ փաստաթղթերի կամ տեղեկությունների հիման վրա, կամ եթե ներկայացված փաստաթղթերից ակնհայտ է, որ ըստ էության պետք է ընդունվեր այլ որոշում: Առաջարկվող մեխանիզմը չի համապատասխանում առաջադրված պահանջներին, այն ստեղծում է իրավիճակ, երբ բարեխիղճ տնտեսվարողն, ով օրենքով սահմանված կարգով ստացել է թույլտվություն, ոչ միայն կորցնի այն, այլ նաև ենթարկվի պատասխանատվության: Պարզ չէ նաև, թե որ պահից է թույլտվությունը համարվում անվավեր և ինչպիսին են անվավերության հետևանքները: </w:t>
            </w:r>
          </w:p>
          <w:p w:rsidR="00F335C5" w:rsidRDefault="00F335C5" w:rsidP="00F335C5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F335C5" w:rsidRDefault="00F335C5" w:rsidP="00F335C5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F335C5" w:rsidRDefault="00F335C5" w:rsidP="00F335C5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F335C5" w:rsidRDefault="00F335C5" w:rsidP="00F335C5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F335C5" w:rsidRPr="00F335C5" w:rsidRDefault="00F335C5" w:rsidP="00F335C5">
            <w:pPr>
              <w:numPr>
                <w:ilvl w:val="0"/>
                <w:numId w:val="30"/>
              </w:numPr>
              <w:ind w:left="0" w:right="-18" w:firstLine="36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F335C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Սույն եզրակացության 4-րդ կետի դրույթները mutatis mutandis կիրառելի են նաև նախագծի հավելված 2-ի համապատասխանաբար 1-ին, 3-րդ (օրենքի 202-րդ հոդվածին չհամապատասխանելու պատճառով) և 11-13-րդ կետերի նկատմամբ:  </w:t>
            </w:r>
          </w:p>
          <w:p w:rsidR="0099462A" w:rsidRPr="0099462A" w:rsidRDefault="0099462A" w:rsidP="00F335C5">
            <w:pPr>
              <w:widowControl w:val="0"/>
              <w:tabs>
                <w:tab w:val="left" w:pos="702"/>
              </w:tabs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760" w:type="dxa"/>
          </w:tcPr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lastRenderedPageBreak/>
              <w:t>Ընդունվել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է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կատարվել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է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համապատասխան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լրացում</w:t>
            </w: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99462A" w:rsidRPr="00B3755E" w:rsidRDefault="0099462A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Pr="00D31FB7" w:rsidRDefault="0099462A" w:rsidP="00B3755E">
            <w:pPr>
              <w:pStyle w:val="NormalWeb"/>
              <w:spacing w:before="0" w:beforeAutospacing="0" w:after="0" w:afterAutospacing="0"/>
              <w:ind w:firstLine="419"/>
              <w:jc w:val="both"/>
              <w:rPr>
                <w:rFonts w:ascii="GHEA Grapalat" w:hAnsi="GHEA Grapalat"/>
                <w:lang w:val="af-ZA"/>
              </w:rPr>
            </w:pPr>
            <w:r w:rsidRPr="00B3755E">
              <w:rPr>
                <w:rFonts w:ascii="GHEA Grapalat" w:hAnsi="GHEA Grapalat" w:cs="Sylfaen"/>
                <w:bCs/>
                <w:lang w:val="af-ZA"/>
              </w:rPr>
              <w:t xml:space="preserve">Սահմանադրության 6-րդ հոդվածի 4-րդ պարբերության համաձայն` միջազգային պայմանագրերը Հայաստանի Հանրապետության իրավական համակարգի բաղկացուցիչ մասն են: Եթե վավերացված միջազգային պայմանագրում սահմանվում են այլ նորմեր, քան նախատեսված են օրենքներով, ապա կիրառվում են այդ </w:t>
            </w:r>
            <w:r w:rsidRPr="00B3755E">
              <w:rPr>
                <w:rFonts w:ascii="GHEA Grapalat" w:hAnsi="GHEA Grapalat" w:cs="Sylfaen"/>
                <w:bCs/>
                <w:lang w:val="af-ZA"/>
              </w:rPr>
              <w:lastRenderedPageBreak/>
              <w:t xml:space="preserve">նորմերը: </w:t>
            </w:r>
            <w:r w:rsidR="00D31FB7">
              <w:rPr>
                <w:rFonts w:ascii="GHEA Grapalat" w:hAnsi="GHEA Grapalat" w:cs="Sylfaen"/>
                <w:bCs/>
                <w:lang w:val="af-ZA"/>
              </w:rPr>
              <w:t xml:space="preserve">Մասնավորապես` Օրենսգրքի 269-րդ հոդվածի 4-րդ մասի համաձայն` </w:t>
            </w:r>
            <w:r w:rsidR="00D31FB7" w:rsidRPr="00D31FB7">
              <w:rPr>
                <w:rFonts w:ascii="GHEA Grapalat" w:hAnsi="GHEA Grapalat" w:cs="Sylfaen"/>
              </w:rPr>
              <w:t>ներքին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սպառման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համար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ապրանքների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վերամշակման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պայմանների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մասին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փաստաթղթի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տրման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, </w:t>
            </w:r>
            <w:r w:rsidR="00D31FB7" w:rsidRPr="00D31FB7">
              <w:rPr>
                <w:rFonts w:ascii="GHEA Grapalat" w:hAnsi="GHEA Grapalat" w:cs="Sylfaen"/>
              </w:rPr>
              <w:t>դրանում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փոփոխությունների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և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լրացումների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կատարման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, </w:t>
            </w:r>
            <w:r w:rsidR="00D31FB7" w:rsidRPr="00D31FB7">
              <w:rPr>
                <w:rFonts w:ascii="GHEA Grapalat" w:hAnsi="GHEA Grapalat" w:cs="Sylfaen"/>
              </w:rPr>
              <w:t>ինչպես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նաև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այն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չեղարկելու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(</w:t>
            </w:r>
            <w:r w:rsidR="00D31FB7" w:rsidRPr="00D31FB7">
              <w:rPr>
                <w:rFonts w:ascii="GHEA Grapalat" w:hAnsi="GHEA Grapalat" w:cs="Sylfaen"/>
              </w:rPr>
              <w:t>չեղյալ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հայտարարելու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) </w:t>
            </w:r>
            <w:r w:rsidR="00D31FB7" w:rsidRPr="00D31FB7">
              <w:rPr>
                <w:rFonts w:ascii="GHEA Grapalat" w:hAnsi="GHEA Grapalat" w:cs="Sylfaen"/>
              </w:rPr>
              <w:t>ձևը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և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կարգը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սահմանվում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են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Մաքսային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միության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անդամ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պետությունների</w:t>
            </w:r>
            <w:r w:rsidR="00D31FB7" w:rsidRPr="00D31FB7">
              <w:rPr>
                <w:rFonts w:ascii="GHEA Grapalat" w:hAnsi="GHEA Grapalat"/>
                <w:lang w:val="af-ZA"/>
              </w:rPr>
              <w:t xml:space="preserve"> </w:t>
            </w:r>
            <w:r w:rsidR="00D31FB7" w:rsidRPr="00D31FB7">
              <w:rPr>
                <w:rFonts w:ascii="GHEA Grapalat" w:hAnsi="GHEA Grapalat" w:cs="Sylfaen"/>
              </w:rPr>
              <w:t>օրենսդրությամբ</w:t>
            </w:r>
            <w:r w:rsidR="00D31FB7" w:rsidRPr="00D31FB7">
              <w:rPr>
                <w:rFonts w:ascii="GHEA Grapalat" w:hAnsi="GHEA Grapalat"/>
                <w:lang w:val="af-ZA"/>
              </w:rPr>
              <w:t>:</w:t>
            </w:r>
          </w:p>
          <w:p w:rsidR="00D31FB7" w:rsidRDefault="0099462A" w:rsidP="00B3755E">
            <w:pPr>
              <w:pStyle w:val="NormalWeb"/>
              <w:spacing w:before="0" w:beforeAutospacing="0" w:after="0" w:afterAutospacing="0"/>
              <w:ind w:firstLine="419"/>
              <w:jc w:val="both"/>
              <w:rPr>
                <w:rFonts w:ascii="GHEA Grapalat" w:hAnsi="GHEA Grapalat"/>
                <w:lang w:val="af-ZA"/>
              </w:rPr>
            </w:pPr>
            <w:r w:rsidRPr="00B3755E">
              <w:rPr>
                <w:rFonts w:ascii="GHEA Grapalat" w:hAnsi="GHEA Grapalat" w:cs="Sylfaen"/>
                <w:bCs/>
                <w:lang w:val="af-ZA"/>
              </w:rPr>
              <w:t xml:space="preserve">Միաժամանակ, </w:t>
            </w:r>
            <w:r w:rsidR="00B3755E" w:rsidRPr="00B3755E">
              <w:rPr>
                <w:rFonts w:ascii="GHEA Grapalat" w:hAnsi="GHEA Grapalat" w:cs="Sylfaen"/>
                <w:bCs/>
                <w:lang w:val="af-ZA"/>
              </w:rPr>
              <w:t xml:space="preserve">Օրենքի 210-րդ հոդվածի 1-ին մասի համաձայն` </w:t>
            </w:r>
            <w:r w:rsidR="00B3755E" w:rsidRPr="00B3755E">
              <w:rPr>
                <w:rFonts w:ascii="GHEA Grapalat" w:hAnsi="GHEA Grapalat" w:cs="Sylfaen"/>
              </w:rPr>
              <w:t>Օրենսգրքի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265-</w:t>
            </w:r>
            <w:r w:rsidR="00B3755E" w:rsidRPr="00B3755E">
              <w:rPr>
                <w:rFonts w:ascii="GHEA Grapalat" w:hAnsi="GHEA Grapalat" w:cs="Sylfaen"/>
              </w:rPr>
              <w:t>րդ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և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269-</w:t>
            </w:r>
            <w:r w:rsidR="00B3755E" w:rsidRPr="00B3755E">
              <w:rPr>
                <w:rFonts w:ascii="GHEA Grapalat" w:hAnsi="GHEA Grapalat" w:cs="Sylfaen"/>
              </w:rPr>
              <w:t>րդ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հոդվածներով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նախատեսված՝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«</w:t>
            </w:r>
            <w:r w:rsidR="00B3755E" w:rsidRPr="00B3755E">
              <w:rPr>
                <w:rFonts w:ascii="GHEA Grapalat" w:hAnsi="GHEA Grapalat" w:cs="Sylfaen"/>
              </w:rPr>
              <w:t>Վերամշակում՝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ներքին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սպառման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համար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» </w:t>
            </w:r>
            <w:r w:rsidR="00B3755E" w:rsidRPr="00B3755E">
              <w:rPr>
                <w:rFonts w:ascii="GHEA Grapalat" w:hAnsi="GHEA Grapalat" w:cs="Sylfaen"/>
              </w:rPr>
              <w:t>մաքսային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ընթացակարգի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շրջանակներում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ապրանքների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վերամշակման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պայմանների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մասին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փաստաթուղթը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ներքին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սպառման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համար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ապրանքների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վերամշակման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թույլտվությունն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է։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Հավելենք նաև, որ </w:t>
            </w:r>
            <w:r w:rsidRPr="00B3755E">
              <w:rPr>
                <w:rFonts w:ascii="GHEA Grapalat" w:hAnsi="GHEA Grapalat" w:cs="Sylfaen"/>
                <w:bCs/>
                <w:lang w:val="af-ZA"/>
              </w:rPr>
              <w:t>Օրենսգրքի</w:t>
            </w:r>
            <w:r w:rsidR="00B3755E" w:rsidRPr="00B3755E">
              <w:rPr>
                <w:rFonts w:ascii="GHEA Grapalat" w:hAnsi="GHEA Grapalat" w:cs="Sylfaen"/>
                <w:bCs/>
                <w:lang w:val="af-ZA"/>
              </w:rPr>
              <w:t xml:space="preserve"> 265-րդ հոդվածի 1-ին </w:t>
            </w:r>
            <w:r w:rsidR="009D341D">
              <w:rPr>
                <w:rFonts w:ascii="GHEA Grapalat" w:hAnsi="GHEA Grapalat" w:cs="Sylfaen"/>
                <w:bCs/>
                <w:lang w:val="af-ZA"/>
              </w:rPr>
              <w:t>կետի</w:t>
            </w:r>
            <w:r w:rsidR="00B3755E" w:rsidRPr="00B3755E">
              <w:rPr>
                <w:rFonts w:ascii="GHEA Grapalat" w:hAnsi="GHEA Grapalat" w:cs="Sylfaen"/>
                <w:bCs/>
                <w:lang w:val="af-ZA"/>
              </w:rPr>
              <w:t xml:space="preserve"> համաձայն` </w:t>
            </w:r>
            <w:r w:rsidR="00B3755E">
              <w:rPr>
                <w:rFonts w:ascii="GHEA Grapalat" w:hAnsi="GHEA Grapalat" w:cs="Sylfaen"/>
              </w:rPr>
              <w:t>ապրանքների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«</w:t>
            </w:r>
            <w:r w:rsidR="00B3755E" w:rsidRPr="00B3755E">
              <w:rPr>
                <w:rFonts w:ascii="GHEA Grapalat" w:hAnsi="GHEA Grapalat" w:cs="Sylfaen"/>
              </w:rPr>
              <w:t>ներքին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սպառման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համար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վերամշակում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» </w:t>
            </w:r>
            <w:r w:rsidR="00B3755E" w:rsidRPr="00B3755E">
              <w:rPr>
                <w:rFonts w:ascii="GHEA Grapalat" w:hAnsi="GHEA Grapalat" w:cs="Sylfaen"/>
              </w:rPr>
              <w:t>մաքսային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ընթացակարգով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ձևակերպումը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թույլատրելի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է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այն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դեպքում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, </w:t>
            </w:r>
            <w:r w:rsidR="00B3755E" w:rsidRPr="00B3755E">
              <w:rPr>
                <w:rFonts w:ascii="GHEA Grapalat" w:hAnsi="GHEA Grapalat" w:cs="Sylfaen"/>
              </w:rPr>
              <w:t>երբ</w:t>
            </w:r>
            <w:r w:rsid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ներկայացվում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է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Մաքսային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միության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անդամ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պետությունների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լիազորված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մարմինների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կողմից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տրված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և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Օրենսգրքի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269-</w:t>
            </w:r>
            <w:r w:rsidR="00B3755E" w:rsidRPr="00B3755E">
              <w:rPr>
                <w:rFonts w:ascii="GHEA Grapalat" w:hAnsi="GHEA Grapalat" w:cs="Sylfaen"/>
              </w:rPr>
              <w:t>րդ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հոդվածով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սահմանված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տեղեկությունները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պարունակող՝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ներքին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սպառման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համար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ապրանքների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վերամշակման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պայմանների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մասին</w:t>
            </w:r>
            <w:r w:rsidR="00B3755E" w:rsidRPr="00B3755E">
              <w:rPr>
                <w:rFonts w:ascii="GHEA Grapalat" w:hAnsi="GHEA Grapalat"/>
                <w:lang w:val="af-ZA"/>
              </w:rPr>
              <w:t xml:space="preserve"> </w:t>
            </w:r>
            <w:r w:rsidR="00B3755E" w:rsidRPr="00B3755E">
              <w:rPr>
                <w:rFonts w:ascii="GHEA Grapalat" w:hAnsi="GHEA Grapalat" w:cs="Sylfaen"/>
              </w:rPr>
              <w:t>փաստաթուղթը</w:t>
            </w:r>
            <w:r w:rsidR="000B5580">
              <w:rPr>
                <w:rFonts w:ascii="GHEA Grapalat" w:hAnsi="GHEA Grapalat"/>
                <w:lang w:val="af-ZA"/>
              </w:rPr>
              <w:t>:</w:t>
            </w:r>
            <w:r w:rsidR="00D31FB7">
              <w:rPr>
                <w:rFonts w:ascii="GHEA Grapalat" w:hAnsi="GHEA Grapalat"/>
                <w:lang w:val="af-ZA"/>
              </w:rPr>
              <w:t xml:space="preserve"> </w:t>
            </w:r>
          </w:p>
          <w:p w:rsidR="0099462A" w:rsidRDefault="00B3755E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99462A" w:rsidRPr="00B3755E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B3755E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75FF8" w:rsidRDefault="00575FF8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31FB7" w:rsidRDefault="00D31FB7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Վերոնշյալ 1-ին կետի մեկնաբանությունը վերաբերում է նաև սույն կետում նշված դիտողությանը` հաշվի առնելով Օրենսգրքի 253-րդ հոդվածի 1-ին կետի 1-ին ենթակետում, ինչպես նաև 257-րդ հոդվածի 4-րդ մասում ամրագրված դրույթները:</w:t>
            </w:r>
          </w:p>
          <w:p w:rsidR="00470C00" w:rsidRDefault="00470C00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6674E" w:rsidRDefault="00470C00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Սահմանադրության 6-րդ հոդվածի 4-րդ պարբերությամբ, ինչպես նաև Օրենսգրքի 244-րդ, 257-րդ և 269-րդ հոդվածների 4-րդ մասերում սահմանված դրույթները</w:t>
            </w:r>
            <w:r w:rsidR="00EF19C6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հաշվի առնելով ընդունելի չէ:</w:t>
            </w:r>
          </w:p>
          <w:p w:rsidR="0036674E" w:rsidRDefault="0036674E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6674E" w:rsidRDefault="0036674E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70C00" w:rsidRDefault="00B76DE4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421BB7" w:rsidRDefault="00421BB7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21BB7" w:rsidRDefault="00421BB7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21BB7" w:rsidRDefault="00421BB7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70638A" w:rsidRPr="007F6752" w:rsidRDefault="0070638A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7F675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Օրենքի 193-րդ հոդվածի 3-րդ մասի համաձայն`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արժեքների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մշակված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չմշակված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բայց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չշրջանակված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չամրացված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ալմաստների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` 710210000, 710221000, 710231000) 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«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Վերամշակում՝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ընթացակարգով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ներմուծումն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սահմանած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F14EF">
              <w:rPr>
                <w:rFonts w:ascii="GHEA Grapalat" w:hAnsi="GHEA Grapalat"/>
                <w:sz w:val="24"/>
                <w:szCs w:val="24"/>
                <w:lang w:val="af-ZA"/>
              </w:rPr>
              <w:t>Մասնավորապես`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մշակված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չմշակված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բայց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չշրջանակված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չամրացված</w:t>
            </w:r>
            <w:r w:rsidR="007F6752" w:rsidRP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F6752" w:rsidRPr="007F6752">
              <w:rPr>
                <w:rFonts w:ascii="GHEA Grapalat" w:hAnsi="GHEA Grapalat" w:cs="Sylfaen"/>
                <w:sz w:val="24"/>
                <w:szCs w:val="24"/>
              </w:rPr>
              <w:t>ալմաստների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տարածք ներմուծման հետ կապված հարաբերությունները կանոնակարգվում են ՀՀ կառավարության </w:t>
            </w:r>
            <w:r w:rsidR="00EE793F">
              <w:rPr>
                <w:rFonts w:ascii="GHEA Grapalat" w:hAnsi="GHEA Grapalat"/>
                <w:sz w:val="24"/>
                <w:szCs w:val="24"/>
                <w:lang w:val="af-ZA"/>
              </w:rPr>
              <w:t>20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>12</w:t>
            </w:r>
            <w:r w:rsidR="004D7A8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F14E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 w:rsidR="004D7A87">
              <w:rPr>
                <w:rFonts w:ascii="GHEA Grapalat" w:hAnsi="GHEA Grapalat"/>
                <w:sz w:val="24"/>
                <w:szCs w:val="24"/>
                <w:lang w:val="af-ZA"/>
              </w:rPr>
              <w:t>վականի հոկտեմբերի 10-ի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1288-Ն որոշմամբ, որ</w:t>
            </w:r>
            <w:r w:rsidR="00EE793F">
              <w:rPr>
                <w:rFonts w:ascii="GHEA Grapalat" w:hAnsi="GHEA Grapalat"/>
                <w:sz w:val="24"/>
                <w:szCs w:val="24"/>
                <w:lang w:val="af-ZA"/>
              </w:rPr>
              <w:t xml:space="preserve">ը ենթակա է փոփոխությունների:  </w:t>
            </w:r>
            <w:r w:rsidR="001F14EF">
              <w:rPr>
                <w:rFonts w:ascii="GHEA Grapalat" w:hAnsi="GHEA Grapalat"/>
                <w:sz w:val="24"/>
                <w:szCs w:val="24"/>
                <w:lang w:val="af-ZA"/>
              </w:rPr>
              <w:t>Մ</w:t>
            </w:r>
            <w:r w:rsidR="007F6752"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 w:rsidR="00DC0A0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աժամանակ, </w:t>
            </w:r>
            <w:r w:rsidR="00522969">
              <w:rPr>
                <w:rFonts w:ascii="GHEA Grapalat" w:hAnsi="GHEA Grapalat"/>
                <w:sz w:val="24"/>
                <w:szCs w:val="24"/>
                <w:lang w:val="af-ZA"/>
              </w:rPr>
              <w:t>նպատակահարմար չէ հղում կատարել իրավական ակտի համարին, հաշվի առնելով այն հանգամանքը, որ պետական կառավարման համապատասխան լիազոր մարմնի կողմից վերոնշյալ որոշման մեջ կատարվող փոփոխությունների ծավալով պայմանավորված հնարավոր է վերոնշյալ որոշումն ուժը կորցրած ճանաչվի և ընդունվի նորը:</w:t>
            </w:r>
          </w:p>
          <w:p w:rsidR="00575FF8" w:rsidRDefault="00575FF8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A2237" w:rsidRDefault="00B342DA" w:rsidP="00D31FB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Նախագծում պահանջվող բոլոր տվյալներն ու փաստաթղթերը բխում են </w:t>
            </w:r>
            <w:r w:rsidR="00F3635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Օրենսգրքի </w:t>
            </w:r>
            <w:r w:rsidR="00125E4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244-րդ</w:t>
            </w:r>
            <w:r w:rsidR="00204C73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269-րդ, ինչպես նաև </w:t>
            </w:r>
            <w:r w:rsidR="00F3635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Օրենքի </w:t>
            </w:r>
            <w:r w:rsidR="00125E4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195-րդ </w:t>
            </w:r>
            <w:r w:rsidR="00204C73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և 210-րդ </w:t>
            </w:r>
            <w:r w:rsidR="00125E4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հոդվածներով սահմանված դ</w:t>
            </w:r>
            <w:r w:rsidR="00F3635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րույթներից:</w:t>
            </w:r>
          </w:p>
          <w:p w:rsidR="00575FF8" w:rsidRDefault="00575FF8" w:rsidP="00BA2237">
            <w:pPr>
              <w:pStyle w:val="NormalWeb"/>
              <w:spacing w:before="0" w:beforeAutospacing="0" w:after="0" w:afterAutospacing="0"/>
              <w:ind w:firstLine="468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BA2237" w:rsidRDefault="00BA2237" w:rsidP="00575FF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 w:rsidRPr="00BA2237">
              <w:rPr>
                <w:rFonts w:ascii="GHEA Grapalat" w:hAnsi="GHEA Grapalat" w:cs="Sylfaen"/>
                <w:bCs/>
                <w:lang w:val="af-ZA"/>
              </w:rPr>
              <w:t xml:space="preserve">Օրենքի 196-րդ հոդվածի համաձայն` </w:t>
            </w:r>
            <w:r>
              <w:rPr>
                <w:rFonts w:ascii="GHEA Grapalat" w:hAnsi="GHEA Grapalat" w:cs="Sylfaen"/>
              </w:rPr>
              <w:t>մ</w:t>
            </w:r>
            <w:r w:rsidRPr="00BA2237">
              <w:rPr>
                <w:rFonts w:ascii="GHEA Grapalat" w:hAnsi="GHEA Grapalat" w:cs="Sylfaen"/>
              </w:rPr>
              <w:t>աքսային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տարածքում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ապրանքների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վերամշակման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թույլտվությունն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անվավեր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է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համարում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մաքսային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մարմինը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եթե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բացահայտվում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է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BA2237">
              <w:rPr>
                <w:rFonts w:ascii="GHEA Grapalat" w:hAnsi="GHEA Grapalat" w:cs="Sylfaen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այն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ստանալու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համար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տրամադրվել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են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ակնհայտ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կեղծ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տեղեկություններ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ապրանքների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վերամշակման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արդյունքների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մնացորդների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և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lastRenderedPageBreak/>
              <w:t>թափոնների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չափաքանակների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վերաբերյալ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որը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հանգեցրել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է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մաքսային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վճարների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գումարի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նվազեցման</w:t>
            </w:r>
            <w:r>
              <w:rPr>
                <w:rFonts w:ascii="GHEA Grapalat" w:hAnsi="GHEA Grapalat"/>
                <w:lang w:val="af-ZA"/>
              </w:rPr>
              <w:t xml:space="preserve">: Տվյալ դեպքում </w:t>
            </w:r>
            <w:r w:rsidRPr="00BA2237">
              <w:rPr>
                <w:rFonts w:ascii="GHEA Grapalat" w:hAnsi="GHEA Grapalat" w:cs="Sylfaen"/>
              </w:rPr>
              <w:t>վերամշակման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արդյունքների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մնացորդների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և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թափոնների</w:t>
            </w:r>
            <w:r w:rsidRPr="00BA2237">
              <w:rPr>
                <w:rFonts w:ascii="GHEA Grapalat" w:hAnsi="GHEA Grapalat"/>
                <w:lang w:val="af-ZA"/>
              </w:rPr>
              <w:t xml:space="preserve">, </w:t>
            </w:r>
            <w:r w:rsidRPr="00BA2237">
              <w:rPr>
                <w:rFonts w:ascii="GHEA Grapalat" w:hAnsi="GHEA Grapalat" w:cs="Sylfaen"/>
              </w:rPr>
              <w:t>չափաքանակների</w:t>
            </w:r>
            <w:r w:rsidRPr="00BA2237">
              <w:rPr>
                <w:rFonts w:ascii="GHEA Grapalat" w:hAnsi="GHEA Grapalat"/>
                <w:lang w:val="af-ZA"/>
              </w:rPr>
              <w:t xml:space="preserve"> </w:t>
            </w:r>
            <w:r w:rsidRPr="00BA2237">
              <w:rPr>
                <w:rFonts w:ascii="GHEA Grapalat" w:hAnsi="GHEA Grapalat" w:cs="Sylfaen"/>
              </w:rPr>
              <w:t>վերաբերյալ</w:t>
            </w:r>
            <w:r w:rsidRPr="00BA223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կեղծ</w:t>
            </w:r>
            <w:r w:rsidRPr="00BA223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տեղեկությունների</w:t>
            </w:r>
            <w:r w:rsidRPr="00BA223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տրամադրման փաստը պարզելու նպատակով անհրաժեշտություն է առաջանում կատարել համապատասխան փորձաքննություն</w:t>
            </w:r>
            <w:r w:rsidR="00184A20">
              <w:rPr>
                <w:rFonts w:ascii="GHEA Grapalat" w:hAnsi="GHEA Grapalat" w:cs="Sylfaen"/>
                <w:lang w:val="af-ZA"/>
              </w:rPr>
              <w:t>:</w:t>
            </w:r>
          </w:p>
          <w:p w:rsidR="0099132F" w:rsidRPr="0085164D" w:rsidRDefault="0099132F" w:rsidP="00BA2237">
            <w:pPr>
              <w:pStyle w:val="NormalWeb"/>
              <w:spacing w:before="0" w:beforeAutospacing="0" w:after="0" w:afterAutospacing="0"/>
              <w:ind w:firstLine="468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Միաժամանակ, </w:t>
            </w:r>
            <w:r w:rsidR="00F66157">
              <w:rPr>
                <w:rFonts w:ascii="GHEA Grapalat" w:hAnsi="GHEA Grapalat" w:cs="Sylfaen"/>
                <w:lang w:val="af-ZA"/>
              </w:rPr>
              <w:t xml:space="preserve">հարկ է նկատի ունենալ , որ </w:t>
            </w:r>
            <w:r w:rsidR="00425E41">
              <w:rPr>
                <w:rFonts w:ascii="GHEA Grapalat" w:hAnsi="GHEA Grapalat" w:cs="Sylfaen"/>
                <w:lang w:val="af-ZA"/>
              </w:rPr>
              <w:t xml:space="preserve">տրամադրված թույլտվության անվավեր ճանաչելու իրավական հիմքերը սահմանված են Օրենքի </w:t>
            </w:r>
            <w:r>
              <w:rPr>
                <w:rFonts w:ascii="GHEA Grapalat" w:hAnsi="GHEA Grapalat" w:cs="Sylfaen"/>
                <w:lang w:val="af-ZA"/>
              </w:rPr>
              <w:t xml:space="preserve">վերոնշյալ նույն 196-րդ </w:t>
            </w:r>
            <w:r w:rsidRPr="0099132F">
              <w:rPr>
                <w:rFonts w:ascii="GHEA Grapalat" w:hAnsi="GHEA Grapalat" w:cs="Sylfaen"/>
                <w:lang w:val="af-ZA"/>
              </w:rPr>
              <w:t xml:space="preserve">հոդվածի 5-րդ </w:t>
            </w:r>
            <w:r w:rsidR="00425E41">
              <w:rPr>
                <w:rFonts w:ascii="GHEA Grapalat" w:hAnsi="GHEA Grapalat" w:cs="Sylfaen"/>
                <w:lang w:val="af-ZA"/>
              </w:rPr>
              <w:t xml:space="preserve">մասում, համաձայն որի </w:t>
            </w:r>
            <w:r w:rsidRPr="0099132F">
              <w:rPr>
                <w:rFonts w:ascii="GHEA Grapalat" w:hAnsi="GHEA Grapalat" w:cs="Sylfaen"/>
              </w:rPr>
              <w:t>մաքսային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տարածքում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ապրանքների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վերամշակման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թույլտվության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անվավեր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համարելու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կարգը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և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որոշման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99132F">
              <w:rPr>
                <w:rFonts w:ascii="GHEA Grapalat" w:hAnsi="GHEA Grapalat" w:cs="Sylfaen"/>
              </w:rPr>
              <w:t>ձևը</w:t>
            </w:r>
            <w:r w:rsidRPr="0099132F">
              <w:rPr>
                <w:rFonts w:ascii="GHEA Grapalat" w:hAnsi="GHEA Grapalat"/>
                <w:lang w:val="af-ZA"/>
              </w:rPr>
              <w:t xml:space="preserve"> </w:t>
            </w:r>
            <w:r w:rsidRPr="00C1702A">
              <w:rPr>
                <w:rFonts w:ascii="GHEA Grapalat" w:hAnsi="GHEA Grapalat" w:cs="Sylfaen"/>
                <w:lang w:val="af-ZA"/>
              </w:rPr>
              <w:t>սահմանում է վերադաս մաքսային մարմինը։</w:t>
            </w:r>
            <w:r w:rsidR="00C1702A" w:rsidRPr="00C1702A">
              <w:rPr>
                <w:rFonts w:ascii="GHEA Grapalat" w:hAnsi="GHEA Grapalat" w:cs="Sylfaen"/>
                <w:lang w:val="af-ZA"/>
              </w:rPr>
              <w:t xml:space="preserve"> Կապված դիտողության վերջին պարբերության հետ հայտնում ենք, որ Օրենքի 196-րդ հոդվածի 3-րդ մասի համաձայն` մաքսային տարածքում ապրանքների վերամշակման թույլտվությունն անվավեր համարելու մասին մաքսային մարմնի </w:t>
            </w:r>
            <w:r w:rsidR="00C1702A" w:rsidRPr="0085164D">
              <w:rPr>
                <w:rFonts w:ascii="GHEA Grapalat" w:hAnsi="GHEA Grapalat" w:cs="Sylfaen"/>
                <w:lang w:val="af-ZA"/>
              </w:rPr>
              <w:t>որոշումն ուժի մեջ է մտնում մաքսային տարածքում ապրանքների վերամշակման թույլտվության տրամադրման ամսաթվից։</w:t>
            </w:r>
          </w:p>
          <w:p w:rsidR="00575FF8" w:rsidRDefault="00575FF8" w:rsidP="0085164D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21BB7" w:rsidRPr="00B3755E" w:rsidRDefault="0088323D" w:rsidP="0085164D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85164D">
              <w:rPr>
                <w:rFonts w:ascii="GHEA Grapalat" w:hAnsi="GHEA Grapalat" w:cs="Sylfaen"/>
                <w:sz w:val="24"/>
                <w:szCs w:val="24"/>
                <w:lang w:val="af-ZA"/>
              </w:rPr>
              <w:t>Վերոնշյալ 4-րդ կետում նշված մեկնաբանությունը վերաբերում է նաև դիտողության 5-րդ կետին, հաշվի առնելով Օրենքի համապատասխա</w:t>
            </w:r>
            <w:r w:rsidR="00A82636" w:rsidRPr="0085164D">
              <w:rPr>
                <w:rFonts w:ascii="GHEA Grapalat" w:hAnsi="GHEA Grapalat" w:cs="Sylfaen"/>
                <w:sz w:val="24"/>
                <w:szCs w:val="24"/>
                <w:lang w:val="af-ZA"/>
              </w:rPr>
              <w:t>նաբար 199-րդ և 203-րդ հոդվածներով սահմանված պահանջները:</w:t>
            </w:r>
            <w:r w:rsidR="00A300BA" w:rsidRPr="0085164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Միաժամանակ, </w:t>
            </w:r>
            <w:r w:rsidR="00A300BA" w:rsidRPr="0085164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Նախագծում պահանջվող բոլոր տվյալներն ու փաստաթղթերը բխում են Օրենսգրքի 257-րդ և Օրենքի 202-րդ հոդվածներում սահմանված դրույթներից:</w:t>
            </w:r>
          </w:p>
        </w:tc>
      </w:tr>
      <w:tr w:rsidR="000913EF" w:rsidRPr="00EF19C6" w:rsidTr="005D3410">
        <w:trPr>
          <w:trHeight w:val="11249"/>
        </w:trPr>
        <w:tc>
          <w:tcPr>
            <w:tcW w:w="4140" w:type="dxa"/>
          </w:tcPr>
          <w:p w:rsidR="000913EF" w:rsidRPr="0099462A" w:rsidRDefault="000913EF" w:rsidP="000913EF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ՀՀ կառավարության աշխատակազմի իրավաբանական վարչություն</w:t>
            </w:r>
          </w:p>
          <w:p w:rsidR="000913EF" w:rsidRPr="0099462A" w:rsidRDefault="000913EF" w:rsidP="000913EF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(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04.02.16</w:t>
            </w: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թ. N 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02/23.22/1447-16</w:t>
            </w:r>
            <w:r w:rsidRPr="0099462A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)</w:t>
            </w:r>
          </w:p>
        </w:tc>
        <w:tc>
          <w:tcPr>
            <w:tcW w:w="6120" w:type="dxa"/>
          </w:tcPr>
          <w:p w:rsidR="000913EF" w:rsidRP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Նախագծի վերաբերյալ հայտնում ենք, որ.</w:t>
            </w:r>
          </w:p>
          <w:p w:rsidR="000913EF" w:rsidRPr="000913EF" w:rsidRDefault="000913EF" w:rsidP="000913EF">
            <w:pPr>
              <w:numPr>
                <w:ilvl w:val="0"/>
                <w:numId w:val="32"/>
              </w:numPr>
              <w:ind w:left="0" w:firstLine="34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Նախագիծի վերաբերյալ առկա են 2015 թվականի դեկտեմբերի 6-ին հանրաքվեի խմբագրությամբ ՀՀ Սահմանադրության (այսուհետ՝ Սահմանադրություն) դրույթներին անհամապատասխանության խնդիրներ, մասնավորապես.</w:t>
            </w:r>
          </w:p>
          <w:p w:rsidR="000913EF" w:rsidRPr="000913EF" w:rsidRDefault="000913EF" w:rsidP="000913EF">
            <w:pPr>
              <w:numPr>
                <w:ilvl w:val="0"/>
                <w:numId w:val="37"/>
              </w:numPr>
              <w:ind w:left="0" w:firstLine="43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նախագծի 1-ին կետի համաձայն առաջարկվում է հաստատել «Վերամշակում` մաքսային տարածքում», «Վերամշակում` ներքին սպառման համար» մաքսային ընթացակարգերով ներմուծվող ապրանքների ձևակերպման համար թույլտվությունների ստացման կարգը: Այս առումով հարկ է ի նկատի ունենալ, որ Սահմանադրության 6-րդ հոդվածի համաձայն ենթաօրենսդրական նորմատիվ իրական ակտերը կարող են ընդունվել Սահմանադրության և օրենքների՝ իրավական որոշակիության սկզբունքին համապատասխանող լիազորող նորմերի առկայության դեպքում՝ Սահմանադրության և օրենքների իրականացումն ապահովելու նպատակով։ Տվյալ պարագայում «Մաքսային կարգավորման մասին» ՀՀ օրենքի (այսուհետ՝ օրենք) 191-րդ հոդվածը սահմանում է, որ «Վերամշակում՝ մաքսային տարածքում» մաքսային ընթացակարգով ապրանքների ձևակերպման համար մաքսային հայտարարագիրը մաքսային մարմին է ներկայացնում մաքսային տարածքում ապրանքների վերամշակման համար ՀՀ կառավարության սահմանած կարգով թույլտվություն ստացած անձը կամ անմիջականորեն ապրանքների վերամշակման գործողություն իրականացնող անձը։ «Վերամշակում` ներքին սպառման համար»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մաքսային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ընթացակարգի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էությունը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և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դրա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շրջանակներում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ապրանքների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ձևակերպման</w:t>
            </w:r>
            <w:r w:rsidRPr="000913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0913EF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lastRenderedPageBreak/>
              <w:t>պայմանները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սահմանող 205-րդ հոդվածը որևէ թույլտվության ստացման կարգի վերաբերյալ դրույթներ չի պարունակում: Ավելին, oրենքի 210 հոդվածը սահմանում է, որ Միության մաքսային օրենսգրքի 265-րդ և 269-րդ հոդվածներով նախատեսված՝ «Վերամշակում՝ ներքին սպառման համար» մաքսային ընթացակարգի շրջանակներում ապրանքների վերամշակման պայմանների մասին փաստաթուղթը ներքին սպառման համար ապրանքների վերամշակման թույլտվությունն է։ Նույն հոդվածով սահմանվում է նաև այդ թույլտվության տրման ընթացակարգը: Հարկ է նաև նշել, որ Սահմանադրության 5-րդ հոդվածի համաձայն այն ունի բարձրագույն իրավաբանական ուժ և դրա իրավական որոշակիության պահանջին համապատասխանող լիազորող նորմեր Միության մաքսային օրենսգրքի վկայակոչված որևէ դրույթ չի պարունակում: Այդ դրույթները ընդամենը սահմանում են, որ համապատասխան հարցերը հանդիսանում են ներպետական օրենսդրության կարգավորման առարկա և նշված առարկայի կարգավորման համար իրավական ակտի տեսակի, դրա ընդունող մարմնի որոշման հետ կապված խնդիրները համապատասխանաբար կարգավորվում են ներպետական օրենսդրությամբ՝ այս դեպքում օրենքով: </w:t>
            </w:r>
          </w:p>
          <w:p w:rsidR="000913EF" w:rsidRPr="000913EF" w:rsidRDefault="000913EF" w:rsidP="00175CFC">
            <w:pPr>
              <w:numPr>
                <w:ilvl w:val="0"/>
                <w:numId w:val="37"/>
              </w:numPr>
              <w:tabs>
                <w:tab w:val="left" w:pos="882"/>
              </w:tabs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Նախագծի 2-րդ կետի համաձայն առաջարկվում է հաստատել «Վերամշակում` մաքսային տարածքից դուրս» մաքսային ընթացակարգով արտահանվող ապրանքների ձևակերպման համար թույլտվության ստացման կարգը, որի լիազորությունը նույնպես սահմանված չէ օրենքով կամ Սահմանադրությամբ:</w:t>
            </w:r>
          </w:p>
          <w:p w:rsidR="000913EF" w:rsidRPr="000913EF" w:rsidRDefault="000913EF" w:rsidP="00175CFC">
            <w:pPr>
              <w:numPr>
                <w:ilvl w:val="0"/>
                <w:numId w:val="37"/>
              </w:numPr>
              <w:tabs>
                <w:tab w:val="left" w:pos="882"/>
              </w:tabs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Նախագծի Հավելված 1-ի 14-րդ կետում և 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Հավելված 2-ի 16-րդ կետում սահմանվում է մաքսային մարմնի կողմից թույլտվություններում փոփոխություն կատարելու կարգի սահմանման լիազորություն, որը Սահմանադրության 6-րդ հոդվածի համաձայն կարող է տրվել միայն Սահմանադրությամբ կամ օրենքով:</w:t>
            </w:r>
          </w:p>
          <w:p w:rsidR="000913EF" w:rsidRPr="000913EF" w:rsidRDefault="000913EF" w:rsidP="00BD0901">
            <w:pPr>
              <w:numPr>
                <w:ilvl w:val="0"/>
                <w:numId w:val="32"/>
              </w:numPr>
              <w:tabs>
                <w:tab w:val="left" w:pos="882"/>
              </w:tabs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Նախագծի հավելված 1-ի՝</w:t>
            </w:r>
          </w:p>
          <w:p w:rsidR="000913EF" w:rsidRPr="000913EF" w:rsidRDefault="000913EF" w:rsidP="00BD0901">
            <w:pPr>
              <w:numPr>
                <w:ilvl w:val="0"/>
                <w:numId w:val="35"/>
              </w:numPr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2-րդ կետը մասամբ չի համապատասխանում օրենքի 195-րդ և 210-րդ հոդվածներին՝ այդ թվում սահմանվում են օրենքով չնախատեսված տվյալների ու փաստաթղթերի ներկայացման պահանջներ` մասնավորապես դա վերաբերվում է 3-րդ ենթակետին, որի պահանջը օրենքով սահմանված չէ: Թեև միության մաքսային օրենսգիրքը նախատեսում է թույլտվության տեքստում ժամկետի ներառում, սակայն դրա համար օրենքով անձի վրա առանձին տեղեկատվություն տրամադրելու պարտականություն սահմանված չէ, իսկ Սահմանադրության 39-րդ հոդվածի համաձայն ոչ ոք չի կարող կրել օրենքով չսահմանված պարտականություններ: </w:t>
            </w: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Խնդրահարույց են նաև 7-րդ, 8-րդ և 9-րդ ենթակետերը, այնքանով, որքանով դրանք շեղվում են օրենքի 195-րդ հոդվածի 2-րդ մասի 2-րդ կետով սահմանված չափանիշից՝ այն է սուբյեկտն ինքն է ընտրում ներկայացնել հումքի նյութերի ու կիսաֆաբրիկատների մատակարարման պայմանագրերի կամ ծառայությունների մատուցման (աշխատանքների կատարման) պայմանագրերի կամ հաշիվ-ապրանքագրերի պատճենները, բայց և դրանցից որևէ մեկի հետ միասին միշտ ներկայացնում է վերամշակման արդյունքով ստացված ապրանքների արտահանման պայմանագրերի պատճեն,</w:t>
            </w:r>
          </w:p>
          <w:p w:rsidR="00421FAF" w:rsidRDefault="00421FA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21FAF" w:rsidRDefault="00421FA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Pr="000913EF" w:rsidRDefault="000913EF" w:rsidP="00BD0901">
            <w:pPr>
              <w:numPr>
                <w:ilvl w:val="0"/>
                <w:numId w:val="35"/>
              </w:numPr>
              <w:tabs>
                <w:tab w:val="left" w:pos="882"/>
              </w:tabs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9-11-րդ կետերով սահմանված փորձաքննության հիման վրա թույլտվություններն անվավեր ճանաչելու ընթացակարգը խիստ խնդրահարույց է: Առաջարկվող մեխանիզմը ստեղծում է խիստ անորոշ իրավիճակ տնտեսվարողի համար, քանի որ չնայած նրան, որ նա ստանում է թույլտվություն, միևնույն է չսահմանված ժամկետով վտանգվում է նրա թույլտվության վավերությունը: Բացի այդ, օրենքի 196-րդ հոդվածի համաձայն անվավերության հիմք է ակնհայտ կեղծ տեղեկությունների տրամադրումը: &lt;&lt;Ակնհայտ կեղծ&gt;&gt; եզրույթի կիրառումը վկայում է, որ դրանց կեղծ լինելը հնարավոր է որոշել անզեն աչքով՝ առանց փորձաքննության կամ այլ հատուկ միջոցների ու գիտելիքների կիրառման՝ հակառակ դեպքում փաստաթուղթը ակնհայտ կեղծ չէ: Բացի այդ նախագիծը որպես փորձաքննության հիմք սահմանում է ոչ թե փաստաթղթերի ակնհայտ կեղծ լինելու հանգամանքը, այլ ներկայացված չափաքանակների և նմանատիպ ապրանքների համար հաստատված և կիրառվող ստանդարտ չափաքանակների միջև շեղումը 20 և ավելի տոկոս լինելու հանգամանքը: Միաժամանակ փորձաքննության նշանակելու որոշումը թողնվում է մաքսային մարմնի կամայականությանը՝ խախտելով «Վարչարարության և վարչական վարույթի մասին» ՀՀ օրեքնի 6-րդ հոդվածի պահանջները: </w:t>
            </w:r>
          </w:p>
          <w:p w:rsidR="000913EF" w:rsidRPr="00B90F57" w:rsidRDefault="000913EF" w:rsidP="00B90F57">
            <w:pPr>
              <w:numPr>
                <w:ilvl w:val="0"/>
                <w:numId w:val="32"/>
              </w:numPr>
              <w:tabs>
                <w:tab w:val="left" w:pos="882"/>
              </w:tabs>
              <w:ind w:left="0" w:firstLine="522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Սույն եզրակացության 4-րդ կետի դրույթները mutatis mutandis կիրառելի են նաև նախագծի հավելված 2-ի համապատասխանաբար 1-ին, 3-րդ (օրենքի 202-րդ հոդվածին չհամապատասխանելու պատճառով) և 11-13-րդ կետերի նկատմամբ:  </w:t>
            </w:r>
          </w:p>
        </w:tc>
        <w:tc>
          <w:tcPr>
            <w:tcW w:w="5760" w:type="dxa"/>
          </w:tcPr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0913EF" w:rsidP="000913EF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Pr="000913EF" w:rsidRDefault="000913EF" w:rsidP="00EF19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Մաքսային միության մաքսային օրենսգրքի (այսուհետ` Օրենսգիրք) 253-րդ հոդվածի 1-ին կետի 1-ին ենթակետի համաձայն` ապրանքների</w:t>
            </w:r>
            <w:r w:rsidRPr="000913EF">
              <w:rPr>
                <w:rFonts w:ascii="GHEA Grapalat" w:hAnsi="GHEA Grapalat" w:cs="Sylfaen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Վերամշակում` </w:t>
            </w:r>
            <w:r w:rsidRPr="000913EF">
              <w:rPr>
                <w:rFonts w:ascii="GHEA Grapalat" w:hAnsi="GHEA Grapalat" w:cs="Sylfaen"/>
                <w:bCs/>
                <w:lang w:val="af-ZA"/>
              </w:rPr>
              <w:t>մաքսային տարածքից դուրս» մաքսային ընթացակարգով ձևակերպումը թույլատրվում է պայմանով, ներկայացվի Մաքսային միության անդամ պետությունների լիազորված մարմինների կողմից տրված և Օրենսգրքի 257-րդ հոդվածով սահմանված տեղեկությունները պարունակող՝ մաքսային տարածքից դուրս ապրանքների վերամշակման պայմանների մասին փաստաթուղթ:</w:t>
            </w:r>
          </w:p>
          <w:p w:rsidR="00BC3BC3" w:rsidRDefault="000913EF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Սահմանադրության 5-րդ հոդվածի 3-րդ մասի համաձայն` 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Հայաստանի Հանրապետության վավերացրած միջազգային պայմանագրերի և օրենքների նորմերի միջև հակասության դեպքում կիրառվում են միջազգային պայմանագրերի նորմերը: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Միաժամանակ, Մաքսային միության մաքսային օրենսգրքի 2</w:t>
            </w:r>
            <w:r w:rsidR="00775BB4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69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-րդ հոդվածի 4-րդ կետի համաձայն` </w:t>
            </w:r>
            <w:r w:rsidR="00775BB4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ներքին սպառման համար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ապրանքների վերամշակման պայմանների մասին փաստաթղթի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(տվյալ դեպքում` թույլտվության)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տրման, դրանում փոփոխությունների և լրացումների կատարման, ինչպես նաև այն չեղարկելու (չեղյալ հայտարարելու) ձևը և կարգը սահմանվում են Մաքսային միության անդամ պետությունների 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օրենսդրությամբ: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Մինչդեռ, </w:t>
            </w:r>
            <w:r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«Մաքսային կարգավորման մասին» ՀՀ օրենք</w:t>
            </w:r>
            <w:r w:rsidR="00BE45E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ում</w:t>
            </w:r>
            <w:r w:rsidR="00AF7385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(այսուհետ` Օրենք)</w:t>
            </w:r>
            <w:r w:rsidR="00BE45E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Օրենսգրքի 2</w:t>
            </w:r>
            <w:r w:rsidR="00775BB4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69</w:t>
            </w:r>
            <w:r w:rsidR="00BE45E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-րդ հոդվածի 4-րդ կետով սահմանված դրույթներից բխող իրավական նորմեր սահմանված չեն: Հաշվի առնելով վերոնշյալը, հակասություն է առաջանում ՀՀ</w:t>
            </w:r>
            <w:r w:rsidR="00BE45E2"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վավերացրած միջազգային պայմանագրի և օրենքի նորմերի միջև</w:t>
            </w:r>
            <w:r w:rsidR="00BE45E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ինչի դեպքում կիրառելի են </w:t>
            </w:r>
            <w:r w:rsidR="00BE45E2" w:rsidRP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միջազգային պայմանագրերի նորմերը</w:t>
            </w:r>
            <w:r w:rsidR="00BE45E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C3BC3" w:rsidRDefault="00BC3BC3" w:rsidP="00BE45E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75FF8" w:rsidRDefault="00575FF8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913EF" w:rsidRDefault="00575FF8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Դ</w:t>
            </w:r>
            <w:r w:rsidR="00BC3BC3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իտողության 1-ին կետի 1-ին ենթակետում ներկայացված մեկնաբանությունը հաշվի առնելով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դիտողութունն ընդունելի չէ</w:t>
            </w:r>
            <w:r w:rsidR="00BC3BC3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: </w:t>
            </w:r>
            <w:r w:rsidR="00775BB4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Տվյալ դեպքում խոսքը վերաբերում է Օրենսգրքի 257-րդ հոդվածի 4-րդ կետին: </w:t>
            </w:r>
            <w:r w:rsidR="000913E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034772" w:rsidRDefault="0003477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34772" w:rsidRDefault="0003477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34772" w:rsidRDefault="0096215D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Դ</w:t>
            </w:r>
            <w:r w:rsidR="0003477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իտողության 1-ին կետի 1-ին ենթակետում </w:t>
            </w:r>
            <w:r w:rsidR="0003477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>ներկայացված մեկնաբանությունը հաշվի առնելով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ընդունելի չէ</w:t>
            </w:r>
            <w:r w:rsidR="0003477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: Տվյալ դեպքում խոսքը վերաբերում է Օրենսգրքի 257-րդ և 269-րդ հոդված</w:t>
            </w:r>
            <w:r w:rsidR="005435E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ներ</w:t>
            </w:r>
            <w:r w:rsidR="0003477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ի 4-րդ կետ</w:t>
            </w:r>
            <w:r w:rsidR="005435E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երին</w:t>
            </w:r>
            <w:r w:rsidR="00034772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:  </w:t>
            </w:r>
          </w:p>
          <w:p w:rsidR="00175CFC" w:rsidRDefault="00175CFC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75CFC" w:rsidRDefault="00175CFC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75CFC" w:rsidRDefault="00175CFC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21FAF" w:rsidRDefault="00AF7385" w:rsidP="00034772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Օրենքի </w:t>
            </w:r>
            <w:r w:rsidR="00847556"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195-րդ հոդվածի 1-ին մասի համաձայն` մաքսային տարածքում ապրանքների վերամշակման թույլտվության մեջ նշվում են Օրենսգրքի 244-րդ հոդվածով սահմանված տեղեկությունները (այդ թվում` Նախագծի 2-րդ կետի 3-րդ ենթակետում սահմանված` 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</w:rPr>
              <w:t>վերամշակման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</w:rPr>
              <w:t>ժամկետի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847556" w:rsidRPr="0094686D">
              <w:rPr>
                <w:rFonts w:ascii="GHEA Grapalat" w:hAnsi="GHEA Grapalat" w:cs="GHEA Grapalat"/>
                <w:sz w:val="24"/>
                <w:szCs w:val="24"/>
              </w:rPr>
              <w:t>տեղեկությունները</w:t>
            </w:r>
            <w:r w:rsidR="00847556"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), մինչդեռ</w:t>
            </w:r>
            <w:r w:rsidR="0094686D"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նույն հոդվածի 2-րդ մասով սահմանված`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հայտարարատ</w:t>
            </w:r>
            <w:r w:rsidR="0094686D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94686D" w:rsidRPr="0094686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r w:rsidR="0094686D" w:rsidRPr="0094686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տեղեկությունների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ցանկից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բացակայում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</w:rPr>
              <w:t>վերամշակման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</w:rPr>
              <w:t>ժամկետի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</w:rPr>
              <w:t>տեղեկությունները</w:t>
            </w:r>
            <w:r w:rsidR="0094686D" w:rsidRP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Այսպիսով, հայտարարատուի կողմից վերոնշյալ տեղեկությունները </w:t>
            </w:r>
            <w:r w:rsidR="00857E6C">
              <w:rPr>
                <w:rFonts w:ascii="GHEA Grapalat" w:hAnsi="GHEA Grapalat" w:cs="GHEA Grapalat"/>
                <w:sz w:val="24"/>
                <w:szCs w:val="24"/>
                <w:lang w:val="af-ZA"/>
              </w:rPr>
              <w:t>չներկայացն</w:t>
            </w:r>
            <w:r w:rsid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ելու պարագայում, մաքսային մարմինը չի կարող </w:t>
            </w:r>
            <w:r w:rsidR="00857E6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տրամադրվող վերամշակման թույլտվության մեջ կատարել Օրենքի 195-րդ հոդվածի 1-ին մասով և Օրենսգրքի 244-րդ հոդվածի 2-րդ կետով սահմանված պահանջները: Վերոնշյալը հաշվի առնելով` Օրենքի և Օրենսգրքի դրույթների միջև առաջանում է հակասություն և տվյալ դեպքում անհրաժեշտություն է առաջանում առաջնորդվել Սահմանադրության 5-րդ հոդվածի 3-րդ մասում սահմանված պահանջներով: </w:t>
            </w:r>
          </w:p>
          <w:p w:rsidR="005D3410" w:rsidRPr="0094686D" w:rsidRDefault="00421FAF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2-րդ կետի 7-րդ, 8-րդ և 9-րդ ենթակետերում կատարվել են համապատասխան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փոփոխություններ:</w:t>
            </w:r>
            <w:r w:rsidR="0094686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4686D" w:rsidRPr="009468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="0094686D"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847556" w:rsidRPr="0094686D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175CFC" w:rsidRDefault="00D30BE3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</w:t>
            </w:r>
            <w:r w:rsidR="0080199B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,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կատարվել է համապատասխան փոփոխություն:</w:t>
            </w:r>
          </w:p>
          <w:p w:rsidR="00175CFC" w:rsidRDefault="00175CFC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75CFC" w:rsidRDefault="00175CFC" w:rsidP="0003477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34772" w:rsidRDefault="0003477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Default="007122D2" w:rsidP="002272D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122D2" w:rsidRPr="000913EF" w:rsidRDefault="007122D2" w:rsidP="007122D2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Նախագծով հաստատվող N 2 հավելվածի 1-ին և 3-րդ կետերի վերաբերյալ դիտողությունն</w:t>
            </w:r>
            <w:r w:rsidR="00421FA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երն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ընդունելի չեն վերոնշյալ մեկնաբանություններով, իսկ 11-13-րդ կետերում կատարվել են համապատասխան փոփոխություններ:  </w:t>
            </w:r>
          </w:p>
        </w:tc>
      </w:tr>
    </w:tbl>
    <w:p w:rsidR="001A580B" w:rsidRPr="00DD2E6C" w:rsidRDefault="001A580B" w:rsidP="00C93CD8">
      <w:pPr>
        <w:spacing w:before="10" w:after="0"/>
        <w:rPr>
          <w:rFonts w:ascii="GHEA Grapalat" w:hAnsi="GHEA Grapalat"/>
          <w:sz w:val="24"/>
          <w:szCs w:val="24"/>
          <w:lang w:val="pt-BR"/>
        </w:rPr>
      </w:pPr>
    </w:p>
    <w:sectPr w:rsidR="001A580B" w:rsidRPr="00DD2E6C" w:rsidSect="00F82262">
      <w:pgSz w:w="16834" w:h="11909" w:orient="landscape" w:code="9"/>
      <w:pgMar w:top="288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C5C" w:rsidRDefault="00165C5C" w:rsidP="00845785">
      <w:pPr>
        <w:spacing w:after="0" w:line="240" w:lineRule="auto"/>
      </w:pPr>
      <w:r>
        <w:separator/>
      </w:r>
    </w:p>
  </w:endnote>
  <w:endnote w:type="continuationSeparator" w:id="1">
    <w:p w:rsidR="00165C5C" w:rsidRDefault="00165C5C" w:rsidP="0084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C5C" w:rsidRDefault="00165C5C" w:rsidP="00845785">
      <w:pPr>
        <w:spacing w:after="0" w:line="240" w:lineRule="auto"/>
      </w:pPr>
      <w:r>
        <w:separator/>
      </w:r>
    </w:p>
  </w:footnote>
  <w:footnote w:type="continuationSeparator" w:id="1">
    <w:p w:rsidR="00165C5C" w:rsidRDefault="00165C5C" w:rsidP="0084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0B2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1">
    <w:nsid w:val="01C0574D"/>
    <w:multiLevelType w:val="hybridMultilevel"/>
    <w:tmpl w:val="AF000FC0"/>
    <w:lvl w:ilvl="0" w:tplc="CEBC851A">
      <w:start w:val="1"/>
      <w:numFmt w:val="decimal"/>
      <w:lvlText w:val="%1)"/>
      <w:lvlJc w:val="left"/>
      <w:pPr>
        <w:ind w:left="127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FC108B"/>
    <w:multiLevelType w:val="multilevel"/>
    <w:tmpl w:val="91166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0B408D"/>
    <w:multiLevelType w:val="hybridMultilevel"/>
    <w:tmpl w:val="5F06F5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01C9C"/>
    <w:multiLevelType w:val="hybridMultilevel"/>
    <w:tmpl w:val="6696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24B"/>
    <w:multiLevelType w:val="hybridMultilevel"/>
    <w:tmpl w:val="4FB08B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4E473A"/>
    <w:multiLevelType w:val="multilevel"/>
    <w:tmpl w:val="8A38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3F736E"/>
    <w:multiLevelType w:val="hybridMultilevel"/>
    <w:tmpl w:val="16E2469A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1A600C2B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9">
    <w:nsid w:val="1DD70045"/>
    <w:multiLevelType w:val="hybridMultilevel"/>
    <w:tmpl w:val="C2F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244BC"/>
    <w:multiLevelType w:val="hybridMultilevel"/>
    <w:tmpl w:val="38C2C7F8"/>
    <w:lvl w:ilvl="0" w:tplc="8256B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5D7061"/>
    <w:multiLevelType w:val="hybridMultilevel"/>
    <w:tmpl w:val="636CC5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14A19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74A7501"/>
    <w:multiLevelType w:val="hybridMultilevel"/>
    <w:tmpl w:val="E29AEDC2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>
    <w:nsid w:val="279E1DBC"/>
    <w:multiLevelType w:val="hybridMultilevel"/>
    <w:tmpl w:val="C14886EC"/>
    <w:lvl w:ilvl="0" w:tplc="9AECF23E">
      <w:start w:val="1"/>
      <w:numFmt w:val="upperRoman"/>
      <w:lvlText w:val="%1."/>
      <w:lvlJc w:val="left"/>
      <w:pPr>
        <w:ind w:left="99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2B21E40"/>
    <w:multiLevelType w:val="hybridMultilevel"/>
    <w:tmpl w:val="6BC011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863F37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3D9E2160"/>
    <w:multiLevelType w:val="hybridMultilevel"/>
    <w:tmpl w:val="4BCAEF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CC4D49"/>
    <w:multiLevelType w:val="hybridMultilevel"/>
    <w:tmpl w:val="46906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538FF"/>
    <w:multiLevelType w:val="hybridMultilevel"/>
    <w:tmpl w:val="8A4AC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72ECF"/>
    <w:multiLevelType w:val="hybridMultilevel"/>
    <w:tmpl w:val="8BD85F86"/>
    <w:lvl w:ilvl="0" w:tplc="199CD87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91C87"/>
    <w:multiLevelType w:val="hybridMultilevel"/>
    <w:tmpl w:val="DD3AA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25818"/>
    <w:multiLevelType w:val="hybridMultilevel"/>
    <w:tmpl w:val="41E2D556"/>
    <w:lvl w:ilvl="0" w:tplc="E0583B3E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284287D"/>
    <w:multiLevelType w:val="hybridMultilevel"/>
    <w:tmpl w:val="14FC6BD4"/>
    <w:lvl w:ilvl="0" w:tplc="04090011">
      <w:start w:val="1"/>
      <w:numFmt w:val="decimal"/>
      <w:lvlText w:val="%1)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5">
    <w:nsid w:val="644D3589"/>
    <w:multiLevelType w:val="hybridMultilevel"/>
    <w:tmpl w:val="4FD4CD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426A8D"/>
    <w:multiLevelType w:val="hybridMultilevel"/>
    <w:tmpl w:val="F0CC48A2"/>
    <w:lvl w:ilvl="0" w:tplc="4E42C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5D7533"/>
    <w:multiLevelType w:val="hybridMultilevel"/>
    <w:tmpl w:val="4D2AD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22FDA"/>
    <w:multiLevelType w:val="hybridMultilevel"/>
    <w:tmpl w:val="5464E006"/>
    <w:lvl w:ilvl="0" w:tplc="6BDE8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D7253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30">
    <w:nsid w:val="69EC453F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31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13AF9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33">
    <w:nsid w:val="7308425E"/>
    <w:multiLevelType w:val="hybridMultilevel"/>
    <w:tmpl w:val="4FD4CD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B1767C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9574DB8"/>
    <w:multiLevelType w:val="hybridMultilevel"/>
    <w:tmpl w:val="A5C4D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85DA0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13"/>
  </w:num>
  <w:num w:numId="5">
    <w:abstractNumId w:val="6"/>
  </w:num>
  <w:num w:numId="6">
    <w:abstractNumId w:val="2"/>
  </w:num>
  <w:num w:numId="7">
    <w:abstractNumId w:val="0"/>
  </w:num>
  <w:num w:numId="8">
    <w:abstractNumId w:val="36"/>
  </w:num>
  <w:num w:numId="9">
    <w:abstractNumId w:val="23"/>
  </w:num>
  <w:num w:numId="10">
    <w:abstractNumId w:val="8"/>
  </w:num>
  <w:num w:numId="11">
    <w:abstractNumId w:val="32"/>
  </w:num>
  <w:num w:numId="12">
    <w:abstractNumId w:val="30"/>
  </w:num>
  <w:num w:numId="13">
    <w:abstractNumId w:val="27"/>
  </w:num>
  <w:num w:numId="14">
    <w:abstractNumId w:val="34"/>
  </w:num>
  <w:num w:numId="15">
    <w:abstractNumId w:val="16"/>
  </w:num>
  <w:num w:numId="16">
    <w:abstractNumId w:val="12"/>
  </w:num>
  <w:num w:numId="17">
    <w:abstractNumId w:val="10"/>
  </w:num>
  <w:num w:numId="18">
    <w:abstractNumId w:val="21"/>
  </w:num>
  <w:num w:numId="19">
    <w:abstractNumId w:val="7"/>
  </w:num>
  <w:num w:numId="20">
    <w:abstractNumId w:val="1"/>
  </w:num>
  <w:num w:numId="21">
    <w:abstractNumId w:val="24"/>
  </w:num>
  <w:num w:numId="22">
    <w:abstractNumId w:val="5"/>
  </w:num>
  <w:num w:numId="23">
    <w:abstractNumId w:val="14"/>
  </w:num>
  <w:num w:numId="24">
    <w:abstractNumId w:val="28"/>
  </w:num>
  <w:num w:numId="25">
    <w:abstractNumId w:val="26"/>
  </w:num>
  <w:num w:numId="26">
    <w:abstractNumId w:val="18"/>
  </w:num>
  <w:num w:numId="27">
    <w:abstractNumId w:val="3"/>
  </w:num>
  <w:num w:numId="28">
    <w:abstractNumId w:val="17"/>
  </w:num>
  <w:num w:numId="29">
    <w:abstractNumId w:val="15"/>
  </w:num>
  <w:num w:numId="30">
    <w:abstractNumId w:val="9"/>
  </w:num>
  <w:num w:numId="31">
    <w:abstractNumId w:val="33"/>
  </w:num>
  <w:num w:numId="32">
    <w:abstractNumId w:val="22"/>
  </w:num>
  <w:num w:numId="33">
    <w:abstractNumId w:val="25"/>
  </w:num>
  <w:num w:numId="34">
    <w:abstractNumId w:val="4"/>
  </w:num>
  <w:num w:numId="35">
    <w:abstractNumId w:val="35"/>
  </w:num>
  <w:num w:numId="36">
    <w:abstractNumId w:val="20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21FB"/>
    <w:rsid w:val="00007B4A"/>
    <w:rsid w:val="00012300"/>
    <w:rsid w:val="00015444"/>
    <w:rsid w:val="00023532"/>
    <w:rsid w:val="00034772"/>
    <w:rsid w:val="00037A18"/>
    <w:rsid w:val="00040E99"/>
    <w:rsid w:val="00063483"/>
    <w:rsid w:val="000801B3"/>
    <w:rsid w:val="00083718"/>
    <w:rsid w:val="000913EF"/>
    <w:rsid w:val="00096669"/>
    <w:rsid w:val="000A3156"/>
    <w:rsid w:val="000A3E63"/>
    <w:rsid w:val="000A772C"/>
    <w:rsid w:val="000B5580"/>
    <w:rsid w:val="000C4DBF"/>
    <w:rsid w:val="000C5BE8"/>
    <w:rsid w:val="000D21FB"/>
    <w:rsid w:val="000D77DD"/>
    <w:rsid w:val="000F703D"/>
    <w:rsid w:val="00104AE0"/>
    <w:rsid w:val="00121D7F"/>
    <w:rsid w:val="00125E4B"/>
    <w:rsid w:val="00140DEC"/>
    <w:rsid w:val="0015600D"/>
    <w:rsid w:val="00156170"/>
    <w:rsid w:val="001634AE"/>
    <w:rsid w:val="00165C5C"/>
    <w:rsid w:val="00175CFC"/>
    <w:rsid w:val="00181806"/>
    <w:rsid w:val="00184A20"/>
    <w:rsid w:val="001A580B"/>
    <w:rsid w:val="001D2EDB"/>
    <w:rsid w:val="001E69CE"/>
    <w:rsid w:val="001F0036"/>
    <w:rsid w:val="001F14EF"/>
    <w:rsid w:val="001F1CC1"/>
    <w:rsid w:val="00200A60"/>
    <w:rsid w:val="00204407"/>
    <w:rsid w:val="00204C73"/>
    <w:rsid w:val="00210BF3"/>
    <w:rsid w:val="00211F58"/>
    <w:rsid w:val="00215C17"/>
    <w:rsid w:val="002272D6"/>
    <w:rsid w:val="002323F8"/>
    <w:rsid w:val="00235B18"/>
    <w:rsid w:val="0026178B"/>
    <w:rsid w:val="00262518"/>
    <w:rsid w:val="00267A78"/>
    <w:rsid w:val="00272692"/>
    <w:rsid w:val="00275442"/>
    <w:rsid w:val="0027694C"/>
    <w:rsid w:val="002A119B"/>
    <w:rsid w:val="002B363B"/>
    <w:rsid w:val="002D24FF"/>
    <w:rsid w:val="002E2F62"/>
    <w:rsid w:val="002F4E61"/>
    <w:rsid w:val="00310416"/>
    <w:rsid w:val="00331CE2"/>
    <w:rsid w:val="00335441"/>
    <w:rsid w:val="00345D61"/>
    <w:rsid w:val="0036231B"/>
    <w:rsid w:val="0036674E"/>
    <w:rsid w:val="00366771"/>
    <w:rsid w:val="003756A8"/>
    <w:rsid w:val="003800DE"/>
    <w:rsid w:val="00381518"/>
    <w:rsid w:val="003858DF"/>
    <w:rsid w:val="003A7F96"/>
    <w:rsid w:val="003C6F89"/>
    <w:rsid w:val="003D2BDD"/>
    <w:rsid w:val="003E0BB3"/>
    <w:rsid w:val="003F1B98"/>
    <w:rsid w:val="003F4CAF"/>
    <w:rsid w:val="004062E9"/>
    <w:rsid w:val="0041108B"/>
    <w:rsid w:val="00416DAD"/>
    <w:rsid w:val="00421BB7"/>
    <w:rsid w:val="00421FAF"/>
    <w:rsid w:val="00425E41"/>
    <w:rsid w:val="00437C08"/>
    <w:rsid w:val="00442B53"/>
    <w:rsid w:val="00447F3E"/>
    <w:rsid w:val="004564A7"/>
    <w:rsid w:val="00465A9E"/>
    <w:rsid w:val="00470C00"/>
    <w:rsid w:val="00474B05"/>
    <w:rsid w:val="00477D23"/>
    <w:rsid w:val="004912A9"/>
    <w:rsid w:val="0049591D"/>
    <w:rsid w:val="004969F7"/>
    <w:rsid w:val="004A460A"/>
    <w:rsid w:val="004D7A87"/>
    <w:rsid w:val="004E069C"/>
    <w:rsid w:val="004E3B39"/>
    <w:rsid w:val="004E420F"/>
    <w:rsid w:val="004F32F9"/>
    <w:rsid w:val="00512277"/>
    <w:rsid w:val="00513268"/>
    <w:rsid w:val="00515288"/>
    <w:rsid w:val="00522969"/>
    <w:rsid w:val="00526ECD"/>
    <w:rsid w:val="005351A6"/>
    <w:rsid w:val="005435EB"/>
    <w:rsid w:val="00565648"/>
    <w:rsid w:val="00565F72"/>
    <w:rsid w:val="0057109A"/>
    <w:rsid w:val="00573056"/>
    <w:rsid w:val="00575FF8"/>
    <w:rsid w:val="00576093"/>
    <w:rsid w:val="00576523"/>
    <w:rsid w:val="0058731C"/>
    <w:rsid w:val="005A32E6"/>
    <w:rsid w:val="005C39D1"/>
    <w:rsid w:val="005D2FD9"/>
    <w:rsid w:val="005D3410"/>
    <w:rsid w:val="005D6892"/>
    <w:rsid w:val="005E4D93"/>
    <w:rsid w:val="005F698B"/>
    <w:rsid w:val="00603C2D"/>
    <w:rsid w:val="006222EF"/>
    <w:rsid w:val="00644D3D"/>
    <w:rsid w:val="00656644"/>
    <w:rsid w:val="00660A67"/>
    <w:rsid w:val="00660BF3"/>
    <w:rsid w:val="00661582"/>
    <w:rsid w:val="00665996"/>
    <w:rsid w:val="0066789C"/>
    <w:rsid w:val="00674ECC"/>
    <w:rsid w:val="00695B7A"/>
    <w:rsid w:val="00696273"/>
    <w:rsid w:val="00697826"/>
    <w:rsid w:val="006B162B"/>
    <w:rsid w:val="006B5442"/>
    <w:rsid w:val="006B69E6"/>
    <w:rsid w:val="006F5C75"/>
    <w:rsid w:val="006F7069"/>
    <w:rsid w:val="00700753"/>
    <w:rsid w:val="0070638A"/>
    <w:rsid w:val="007122D2"/>
    <w:rsid w:val="00712B30"/>
    <w:rsid w:val="00713462"/>
    <w:rsid w:val="00723408"/>
    <w:rsid w:val="0072533E"/>
    <w:rsid w:val="007306FF"/>
    <w:rsid w:val="007318FC"/>
    <w:rsid w:val="00733246"/>
    <w:rsid w:val="007670CE"/>
    <w:rsid w:val="00767985"/>
    <w:rsid w:val="007744BD"/>
    <w:rsid w:val="00775BB4"/>
    <w:rsid w:val="00776C62"/>
    <w:rsid w:val="007A34D0"/>
    <w:rsid w:val="007B58CA"/>
    <w:rsid w:val="007B7370"/>
    <w:rsid w:val="007F5C8D"/>
    <w:rsid w:val="007F6752"/>
    <w:rsid w:val="0080199B"/>
    <w:rsid w:val="008273AB"/>
    <w:rsid w:val="00845785"/>
    <w:rsid w:val="00847556"/>
    <w:rsid w:val="0085164D"/>
    <w:rsid w:val="008541BD"/>
    <w:rsid w:val="00857E6C"/>
    <w:rsid w:val="00865C78"/>
    <w:rsid w:val="00881C30"/>
    <w:rsid w:val="0088323D"/>
    <w:rsid w:val="00885D87"/>
    <w:rsid w:val="008A606A"/>
    <w:rsid w:val="008B0ADD"/>
    <w:rsid w:val="008B25FD"/>
    <w:rsid w:val="008B61FA"/>
    <w:rsid w:val="008C4259"/>
    <w:rsid w:val="008D2EBE"/>
    <w:rsid w:val="008D33BD"/>
    <w:rsid w:val="008E69B6"/>
    <w:rsid w:val="008E73B0"/>
    <w:rsid w:val="008F0742"/>
    <w:rsid w:val="00904F9E"/>
    <w:rsid w:val="00906F2F"/>
    <w:rsid w:val="00911FFE"/>
    <w:rsid w:val="00913F47"/>
    <w:rsid w:val="0093117D"/>
    <w:rsid w:val="0094686D"/>
    <w:rsid w:val="009529C8"/>
    <w:rsid w:val="00954D60"/>
    <w:rsid w:val="0096194B"/>
    <w:rsid w:val="0096215D"/>
    <w:rsid w:val="009666AD"/>
    <w:rsid w:val="009666BB"/>
    <w:rsid w:val="00972C20"/>
    <w:rsid w:val="0099132F"/>
    <w:rsid w:val="00992A50"/>
    <w:rsid w:val="0099462A"/>
    <w:rsid w:val="009A7970"/>
    <w:rsid w:val="009B479D"/>
    <w:rsid w:val="009C69A3"/>
    <w:rsid w:val="009D341D"/>
    <w:rsid w:val="009D6AF3"/>
    <w:rsid w:val="009E357A"/>
    <w:rsid w:val="009E3B28"/>
    <w:rsid w:val="009E4558"/>
    <w:rsid w:val="009E565A"/>
    <w:rsid w:val="009E79DE"/>
    <w:rsid w:val="009F19DA"/>
    <w:rsid w:val="009F2488"/>
    <w:rsid w:val="009F4FD7"/>
    <w:rsid w:val="00A02529"/>
    <w:rsid w:val="00A300BA"/>
    <w:rsid w:val="00A3476F"/>
    <w:rsid w:val="00A50D41"/>
    <w:rsid w:val="00A53D3E"/>
    <w:rsid w:val="00A81A7D"/>
    <w:rsid w:val="00A82636"/>
    <w:rsid w:val="00A84CA5"/>
    <w:rsid w:val="00A973BD"/>
    <w:rsid w:val="00AA7647"/>
    <w:rsid w:val="00AC2D0D"/>
    <w:rsid w:val="00AE6B26"/>
    <w:rsid w:val="00AF0C13"/>
    <w:rsid w:val="00AF4D60"/>
    <w:rsid w:val="00AF7385"/>
    <w:rsid w:val="00B04145"/>
    <w:rsid w:val="00B225D5"/>
    <w:rsid w:val="00B23AF7"/>
    <w:rsid w:val="00B24956"/>
    <w:rsid w:val="00B342DA"/>
    <w:rsid w:val="00B36364"/>
    <w:rsid w:val="00B3755E"/>
    <w:rsid w:val="00B40A44"/>
    <w:rsid w:val="00B42CC5"/>
    <w:rsid w:val="00B47566"/>
    <w:rsid w:val="00B5062C"/>
    <w:rsid w:val="00B70B3C"/>
    <w:rsid w:val="00B70EDB"/>
    <w:rsid w:val="00B76429"/>
    <w:rsid w:val="00B76DE4"/>
    <w:rsid w:val="00B90F57"/>
    <w:rsid w:val="00B97433"/>
    <w:rsid w:val="00BA2237"/>
    <w:rsid w:val="00BA267B"/>
    <w:rsid w:val="00BA79DB"/>
    <w:rsid w:val="00BB3CA3"/>
    <w:rsid w:val="00BC0EB8"/>
    <w:rsid w:val="00BC3BC3"/>
    <w:rsid w:val="00BD0901"/>
    <w:rsid w:val="00BD1FA1"/>
    <w:rsid w:val="00BD2C49"/>
    <w:rsid w:val="00BD649F"/>
    <w:rsid w:val="00BE45E2"/>
    <w:rsid w:val="00BF22D7"/>
    <w:rsid w:val="00C061C9"/>
    <w:rsid w:val="00C10AF1"/>
    <w:rsid w:val="00C1702A"/>
    <w:rsid w:val="00C17FC7"/>
    <w:rsid w:val="00C23535"/>
    <w:rsid w:val="00C254B9"/>
    <w:rsid w:val="00C354ED"/>
    <w:rsid w:val="00C4109C"/>
    <w:rsid w:val="00C42A24"/>
    <w:rsid w:val="00C5797A"/>
    <w:rsid w:val="00C74D45"/>
    <w:rsid w:val="00C82D86"/>
    <w:rsid w:val="00C84CEC"/>
    <w:rsid w:val="00C92EC9"/>
    <w:rsid w:val="00C93CD8"/>
    <w:rsid w:val="00C94F7D"/>
    <w:rsid w:val="00C978FA"/>
    <w:rsid w:val="00CA0A35"/>
    <w:rsid w:val="00CB5572"/>
    <w:rsid w:val="00CF2049"/>
    <w:rsid w:val="00D04D16"/>
    <w:rsid w:val="00D105E0"/>
    <w:rsid w:val="00D178B5"/>
    <w:rsid w:val="00D30BE3"/>
    <w:rsid w:val="00D31FB7"/>
    <w:rsid w:val="00D350D6"/>
    <w:rsid w:val="00D525F1"/>
    <w:rsid w:val="00D56793"/>
    <w:rsid w:val="00D602E7"/>
    <w:rsid w:val="00D61BFE"/>
    <w:rsid w:val="00D719A1"/>
    <w:rsid w:val="00D74E29"/>
    <w:rsid w:val="00D83F37"/>
    <w:rsid w:val="00D8724B"/>
    <w:rsid w:val="00D9337D"/>
    <w:rsid w:val="00D94BEA"/>
    <w:rsid w:val="00D955AD"/>
    <w:rsid w:val="00D9733A"/>
    <w:rsid w:val="00DA27FC"/>
    <w:rsid w:val="00DB1528"/>
    <w:rsid w:val="00DB4E46"/>
    <w:rsid w:val="00DC0A09"/>
    <w:rsid w:val="00DC386D"/>
    <w:rsid w:val="00DC3EA0"/>
    <w:rsid w:val="00DC530D"/>
    <w:rsid w:val="00DD2E6C"/>
    <w:rsid w:val="00DD4B46"/>
    <w:rsid w:val="00DF46E6"/>
    <w:rsid w:val="00E16A43"/>
    <w:rsid w:val="00E23C2F"/>
    <w:rsid w:val="00E3068D"/>
    <w:rsid w:val="00E37927"/>
    <w:rsid w:val="00E52461"/>
    <w:rsid w:val="00E614A9"/>
    <w:rsid w:val="00E94E83"/>
    <w:rsid w:val="00E973FF"/>
    <w:rsid w:val="00E979EE"/>
    <w:rsid w:val="00EA02F9"/>
    <w:rsid w:val="00EA0618"/>
    <w:rsid w:val="00EB18D5"/>
    <w:rsid w:val="00EB312F"/>
    <w:rsid w:val="00EB3515"/>
    <w:rsid w:val="00EB654A"/>
    <w:rsid w:val="00EE793F"/>
    <w:rsid w:val="00EF19C6"/>
    <w:rsid w:val="00F11801"/>
    <w:rsid w:val="00F23CA3"/>
    <w:rsid w:val="00F3330A"/>
    <w:rsid w:val="00F335C5"/>
    <w:rsid w:val="00F36359"/>
    <w:rsid w:val="00F5427C"/>
    <w:rsid w:val="00F60C18"/>
    <w:rsid w:val="00F66157"/>
    <w:rsid w:val="00F77443"/>
    <w:rsid w:val="00F82262"/>
    <w:rsid w:val="00F857F7"/>
    <w:rsid w:val="00F97829"/>
    <w:rsid w:val="00FB35CF"/>
    <w:rsid w:val="00FC2A3E"/>
    <w:rsid w:val="00FC5D4C"/>
    <w:rsid w:val="00FC6736"/>
    <w:rsid w:val="00FD4B46"/>
    <w:rsid w:val="00FE0C61"/>
    <w:rsid w:val="00FE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4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785"/>
  </w:style>
  <w:style w:type="paragraph" w:styleId="Footer">
    <w:name w:val="footer"/>
    <w:basedOn w:val="Normal"/>
    <w:link w:val="FooterChar"/>
    <w:uiPriority w:val="99"/>
    <w:semiHidden/>
    <w:unhideWhenUsed/>
    <w:rsid w:val="0084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785"/>
  </w:style>
  <w:style w:type="paragraph" w:styleId="NormalWeb">
    <w:name w:val="Normal (Web)"/>
    <w:basedOn w:val="Normal"/>
    <w:uiPriority w:val="99"/>
    <w:rsid w:val="008B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0ADD"/>
    <w:rPr>
      <w:rFonts w:cs="Times New Roman"/>
    </w:rPr>
  </w:style>
  <w:style w:type="character" w:styleId="Strong">
    <w:name w:val="Strong"/>
    <w:basedOn w:val="DefaultParagraphFont"/>
    <w:uiPriority w:val="22"/>
    <w:qFormat/>
    <w:rsid w:val="008541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15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syuzanna.papoyan</cp:lastModifiedBy>
  <cp:revision>255</cp:revision>
  <cp:lastPrinted>2015-04-30T12:54:00Z</cp:lastPrinted>
  <dcterms:created xsi:type="dcterms:W3CDTF">2015-02-09T05:42:00Z</dcterms:created>
  <dcterms:modified xsi:type="dcterms:W3CDTF">2016-02-12T13:22:00Z</dcterms:modified>
</cp:coreProperties>
</file>