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46" w:rsidRPr="00E13353" w:rsidRDefault="00E03A46" w:rsidP="00E03A46">
      <w:pPr>
        <w:pStyle w:val="BodyText"/>
        <w:jc w:val="center"/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</w:pP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Ա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Մ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Փ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Ո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Փ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Ա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Թ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Ե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Ր</w:t>
      </w:r>
      <w:r w:rsidRPr="00E13353">
        <w:rPr>
          <w:rFonts w:ascii="GHEA Grapalat" w:eastAsia="Calibri" w:hAnsi="GHEA Grapalat" w:cs="Times New Roma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eastAsia="Calibri" w:hAnsi="GHEA Grapalat" w:cs="Sylfaen"/>
          <w:b/>
          <w:caps/>
          <w:sz w:val="22"/>
          <w:szCs w:val="22"/>
        </w:rPr>
        <w:t>Թ</w:t>
      </w:r>
    </w:p>
    <w:p w:rsidR="00E03A46" w:rsidRPr="00E13353" w:rsidRDefault="00E03A46" w:rsidP="00E03A4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E13353">
        <w:rPr>
          <w:rFonts w:ascii="GHEA Grapalat" w:hAnsi="GHEA Grapalat" w:cs="IRTEK Courier"/>
          <w:b/>
          <w:caps/>
          <w:sz w:val="22"/>
          <w:szCs w:val="22"/>
          <w:lang w:val="af-ZA"/>
        </w:rPr>
        <w:t xml:space="preserve">«Վերահսկիչ պալատի մասին» Հայաստանի Հանրապետության օրենքում </w:t>
      </w:r>
      <w:r w:rsidR="00102B96" w:rsidRPr="00E13353">
        <w:rPr>
          <w:rFonts w:ascii="GHEA Grapalat" w:hAnsi="GHEA Grapalat" w:cs="IRTEK Courier"/>
          <w:b/>
          <w:caps/>
          <w:sz w:val="22"/>
          <w:szCs w:val="22"/>
          <w:lang w:val="af-ZA"/>
        </w:rPr>
        <w:t>փոփոխություն</w:t>
      </w:r>
      <w:r w:rsidR="00102B96">
        <w:rPr>
          <w:rFonts w:ascii="GHEA Grapalat" w:hAnsi="GHEA Grapalat" w:cs="IRTEK Courier"/>
          <w:b/>
          <w:caps/>
          <w:sz w:val="22"/>
          <w:szCs w:val="22"/>
          <w:lang w:val="af-ZA"/>
        </w:rPr>
        <w:t>ՆԵՐ</w:t>
      </w:r>
      <w:r w:rsidR="00102B96" w:rsidRPr="00E13353">
        <w:rPr>
          <w:rFonts w:ascii="GHEA Grapalat" w:hAnsi="GHEA Grapalat" w:cs="IRTEK Courier"/>
          <w:b/>
          <w:caps/>
          <w:sz w:val="22"/>
          <w:szCs w:val="22"/>
          <w:lang w:val="af-ZA"/>
        </w:rPr>
        <w:t xml:space="preserve"> ԵՎ </w:t>
      </w:r>
      <w:r w:rsidRPr="00E13353">
        <w:rPr>
          <w:rFonts w:ascii="GHEA Grapalat" w:hAnsi="GHEA Grapalat" w:cs="IRTEK Courier"/>
          <w:b/>
          <w:caps/>
          <w:sz w:val="22"/>
          <w:szCs w:val="22"/>
          <w:lang w:val="af-ZA"/>
        </w:rPr>
        <w:t>լրացումներ կատարելու մասին» ԵՎ «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Ազգային</w:t>
      </w:r>
      <w:r w:rsidRPr="00E13353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ժողովի</w:t>
      </w:r>
      <w:r w:rsidRPr="00E13353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կանոնակարգ</w:t>
      </w:r>
      <w:r w:rsidRPr="00E13353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» 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Հայաստանի</w:t>
      </w:r>
      <w:r w:rsidRPr="00E13353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Հանրապետության</w:t>
      </w:r>
      <w:r w:rsidRPr="00E13353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 w:cs="Sylfaen"/>
          <w:b/>
          <w:caps/>
          <w:sz w:val="22"/>
          <w:szCs w:val="22"/>
        </w:rPr>
        <w:t>օրենքում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լրացումներ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ԵՎ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փոփոխություն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կատարելու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մասին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»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Հայաստանի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Հանրապետության</w:t>
      </w:r>
      <w:r w:rsidRPr="00E1335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E13353">
        <w:rPr>
          <w:rFonts w:ascii="GHEA Grapalat" w:hAnsi="GHEA Grapalat"/>
          <w:b/>
          <w:caps/>
          <w:sz w:val="22"/>
          <w:szCs w:val="22"/>
          <w:lang w:val="fr-FR"/>
        </w:rPr>
        <w:t>օրենքների</w:t>
      </w:r>
      <w:r w:rsidRPr="00E13353">
        <w:rPr>
          <w:rFonts w:ascii="GHEA Grapalat" w:hAnsi="GHEA Grapalat"/>
          <w:b/>
          <w:caps/>
          <w:color w:val="000000"/>
          <w:sz w:val="22"/>
          <w:szCs w:val="22"/>
          <w:shd w:val="clear" w:color="auto" w:fill="FFFFFF"/>
          <w:lang w:val="af-ZA"/>
        </w:rPr>
        <w:t xml:space="preserve"> նախագծեր</w:t>
      </w:r>
      <w:r w:rsidRPr="00E13353">
        <w:rPr>
          <w:rFonts w:ascii="GHEA Grapalat" w:hAnsi="GHEA Grapalat" w:cs="Sylfaen"/>
          <w:b/>
          <w:bCs/>
          <w:caps/>
          <w:sz w:val="22"/>
          <w:szCs w:val="22"/>
          <w:lang w:val="af-ZA"/>
        </w:rPr>
        <w:t xml:space="preserve">ի </w:t>
      </w:r>
      <w:r w:rsidRPr="00E13353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Pr="00E13353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p w:rsidR="00E03A46" w:rsidRPr="00E13353" w:rsidRDefault="00E03A46" w:rsidP="00E03A4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E13353">
        <w:rPr>
          <w:rFonts w:ascii="GHEA Grapalat" w:hAnsi="GHEA Grapalat"/>
          <w:b/>
          <w:bCs/>
          <w:caps/>
          <w:sz w:val="22"/>
          <w:szCs w:val="22"/>
          <w:lang w:val="af-ZA"/>
        </w:rPr>
        <w:tab/>
      </w:r>
    </w:p>
    <w:p w:rsidR="005F2DA6" w:rsidRPr="00E13353" w:rsidRDefault="005F2DA6" w:rsidP="00BA14E5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2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2103"/>
        <w:gridCol w:w="5126"/>
      </w:tblGrid>
      <w:tr w:rsidR="005F2DA6" w:rsidRPr="00E13353" w:rsidTr="00CD2F08">
        <w:trPr>
          <w:trHeight w:val="196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հեղինակը,գրության ստացման ամսաթիվը,</w:t>
            </w:r>
          </w:p>
          <w:p w:rsidR="005F2DA6" w:rsidRPr="00E13353" w:rsidRDefault="005F2DA6" w:rsidP="00BA14E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1335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5F2DA6" w:rsidRPr="00E13353" w:rsidTr="00CD2F0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13353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13353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13353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A6" w:rsidRPr="00E13353" w:rsidRDefault="005F2DA6" w:rsidP="00BA14E5">
            <w:pPr>
              <w:jc w:val="center"/>
              <w:rPr>
                <w:rFonts w:ascii="GHEA Grapalat" w:hAnsi="GHEA Grapalat"/>
                <w:lang w:val="af-ZA"/>
              </w:rPr>
            </w:pPr>
            <w:r w:rsidRPr="00E13353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5F2DA6" w:rsidRPr="00102B96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74" w:rsidRPr="00102B96" w:rsidRDefault="00E03A46" w:rsidP="00BA14E5">
            <w:pPr>
              <w:rPr>
                <w:rFonts w:ascii="GHEA Grapalat" w:hAnsi="GHEA Grapalat"/>
                <w:lang w:val="af-ZA"/>
              </w:rPr>
            </w:pPr>
            <w:r w:rsidRPr="00102B96">
              <w:rPr>
                <w:rFonts w:ascii="GHEA Grapalat" w:hAnsi="GHEA Grapalat"/>
                <w:lang w:val="af-ZA"/>
              </w:rPr>
              <w:t>ՀՀ ֆինանսների նախարարություն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13" w:rsidRDefault="006C4013" w:rsidP="006C4013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</w:t>
            </w:r>
            <w:r w:rsidR="000A094D">
              <w:rPr>
                <w:rFonts w:ascii="GHEA Grapalat" w:hAnsi="GHEA Grapalat"/>
              </w:rPr>
              <w:t>այտնում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ենք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, </w:t>
            </w:r>
            <w:r w:rsidR="000A094D">
              <w:rPr>
                <w:rFonts w:ascii="GHEA Grapalat" w:hAnsi="GHEA Grapalat"/>
              </w:rPr>
              <w:t>որ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ներկայացված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նախագծերի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առնչությամբ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սկզբունքային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դիտողություններ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և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առաջարկություններ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չունենք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: </w:t>
            </w:r>
            <w:r w:rsidR="000A094D">
              <w:rPr>
                <w:rFonts w:ascii="GHEA Grapalat" w:hAnsi="GHEA Grapalat"/>
              </w:rPr>
              <w:t>Միաժամանակ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հայտնում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ենք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, </w:t>
            </w:r>
            <w:r w:rsidR="000A094D">
              <w:rPr>
                <w:rFonts w:ascii="GHEA Grapalat" w:hAnsi="GHEA Grapalat"/>
              </w:rPr>
              <w:t>որ</w:t>
            </w:r>
            <w:r w:rsidRPr="006C4013">
              <w:rPr>
                <w:rFonts w:ascii="GHEA Grapalat" w:hAnsi="GHEA Grapalat"/>
                <w:lang w:val="af-ZA"/>
              </w:rPr>
              <w:t>.</w:t>
            </w:r>
          </w:p>
          <w:p w:rsidR="000A094D" w:rsidRPr="000A094D" w:rsidRDefault="006C4013" w:rsidP="006C4013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ՀՀ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ֆինանսների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նախարարության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06.08.2013</w:t>
            </w:r>
            <w:r w:rsidR="000A094D">
              <w:rPr>
                <w:rFonts w:ascii="GHEA Grapalat" w:hAnsi="GHEA Grapalat"/>
              </w:rPr>
              <w:t>թ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. </w:t>
            </w:r>
            <w:r w:rsidR="000A094D">
              <w:rPr>
                <w:rFonts w:ascii="GHEA Grapalat" w:hAnsi="GHEA Grapalat"/>
              </w:rPr>
              <w:t>հ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.1/9.4/11716-13 </w:t>
            </w:r>
            <w:r w:rsidR="000A094D">
              <w:rPr>
                <w:rFonts w:ascii="GHEA Grapalat" w:hAnsi="GHEA Grapalat"/>
              </w:rPr>
              <w:t>գրությամբ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«</w:t>
            </w:r>
            <w:r w:rsidR="000A094D" w:rsidRPr="00115194">
              <w:rPr>
                <w:rFonts w:ascii="GHEA Grapalat" w:hAnsi="GHEA Grapalat"/>
              </w:rPr>
              <w:t>Վերահսկիչ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պալատի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մասին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» </w:t>
            </w:r>
            <w:r w:rsidR="000A094D" w:rsidRPr="00115194">
              <w:rPr>
                <w:rFonts w:ascii="GHEA Grapalat" w:hAnsi="GHEA Grapalat"/>
              </w:rPr>
              <w:t>Հայաստանի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Հանրապետության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օրենքում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փոփոխություններ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և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լրացումներ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կատարելու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115194">
              <w:rPr>
                <w:rFonts w:ascii="GHEA Grapalat" w:hAnsi="GHEA Grapalat"/>
              </w:rPr>
              <w:t>մասին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» </w:t>
            </w:r>
            <w:r w:rsidR="000A094D">
              <w:rPr>
                <w:rFonts w:ascii="GHEA Grapalat" w:hAnsi="GHEA Grapalat"/>
              </w:rPr>
              <w:t>Նախագծի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վերաբերյալ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մեր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կողմից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կատարված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առաջարկությունները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(</w:t>
            </w:r>
            <w:r w:rsidR="000A094D">
              <w:rPr>
                <w:rFonts w:ascii="GHEA Grapalat" w:hAnsi="GHEA Grapalat"/>
              </w:rPr>
              <w:t>նախագծում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ներառված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>
              <w:rPr>
                <w:rFonts w:ascii="GHEA Grapalat" w:hAnsi="GHEA Grapalat"/>
              </w:rPr>
              <w:t>չեն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) </w:t>
            </w:r>
            <w:r w:rsidR="000A094D" w:rsidRPr="00871FCB">
              <w:rPr>
                <w:rFonts w:ascii="GHEA Grapalat" w:hAnsi="GHEA Grapalat"/>
              </w:rPr>
              <w:t>մնում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871FCB">
              <w:rPr>
                <w:rFonts w:ascii="GHEA Grapalat" w:hAnsi="GHEA Grapalat"/>
              </w:rPr>
              <w:t>են</w:t>
            </w:r>
            <w:r w:rsidR="000A094D" w:rsidRPr="000A094D">
              <w:rPr>
                <w:rFonts w:ascii="GHEA Grapalat" w:hAnsi="GHEA Grapalat"/>
                <w:lang w:val="af-ZA"/>
              </w:rPr>
              <w:t xml:space="preserve"> </w:t>
            </w:r>
            <w:r w:rsidR="000A094D" w:rsidRPr="00871FCB">
              <w:rPr>
                <w:rFonts w:ascii="GHEA Grapalat" w:hAnsi="GHEA Grapalat"/>
              </w:rPr>
              <w:t>անփոփոխ</w:t>
            </w:r>
            <w:r w:rsidR="000A094D" w:rsidRPr="000A094D">
              <w:rPr>
                <w:rFonts w:ascii="GHEA Grapalat" w:hAnsi="GHEA Grapalat"/>
                <w:lang w:val="af-ZA"/>
              </w:rPr>
              <w:t>:</w:t>
            </w:r>
          </w:p>
          <w:p w:rsidR="005F2DA6" w:rsidRPr="00E13353" w:rsidRDefault="005F2DA6" w:rsidP="000A094D">
            <w:pPr>
              <w:tabs>
                <w:tab w:val="left" w:pos="-720"/>
              </w:tabs>
              <w:ind w:left="-50" w:right="22" w:firstLine="41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53" w:rsidRDefault="00054BB7" w:rsidP="000A094D">
            <w:pPr>
              <w:tabs>
                <w:tab w:val="left" w:pos="317"/>
              </w:tabs>
              <w:rPr>
                <w:rFonts w:ascii="GHEA Grapalat" w:hAnsi="GHEA Grapalat" w:cs="Sylfaen"/>
                <w:lang w:val="af-ZA"/>
              </w:rPr>
            </w:pPr>
            <w:r w:rsidRPr="000A094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6C4013" w:rsidRDefault="006C4013" w:rsidP="000A094D">
            <w:pPr>
              <w:tabs>
                <w:tab w:val="left" w:pos="317"/>
              </w:tabs>
              <w:rPr>
                <w:rFonts w:ascii="GHEA Grapalat" w:hAnsi="GHEA Grapalat" w:cs="Sylfaen"/>
                <w:lang w:val="af-ZA"/>
              </w:rPr>
            </w:pPr>
          </w:p>
          <w:p w:rsidR="006C4013" w:rsidRDefault="006C4013" w:rsidP="000A094D">
            <w:pPr>
              <w:tabs>
                <w:tab w:val="left" w:pos="317"/>
              </w:tabs>
              <w:rPr>
                <w:rFonts w:ascii="GHEA Grapalat" w:hAnsi="GHEA Grapalat" w:cs="Sylfaen"/>
                <w:lang w:val="af-ZA"/>
              </w:rPr>
            </w:pPr>
          </w:p>
          <w:p w:rsidR="006C4013" w:rsidRDefault="006C4013" w:rsidP="000A094D">
            <w:pPr>
              <w:tabs>
                <w:tab w:val="left" w:pos="317"/>
              </w:tabs>
              <w:rPr>
                <w:rFonts w:ascii="GHEA Grapalat" w:hAnsi="GHEA Grapalat" w:cs="Sylfaen"/>
                <w:lang w:val="af-ZA"/>
              </w:rPr>
            </w:pPr>
          </w:p>
          <w:p w:rsidR="006C4013" w:rsidRPr="006C4013" w:rsidRDefault="006C4013" w:rsidP="006C4013">
            <w:pPr>
              <w:tabs>
                <w:tab w:val="left" w:pos="317"/>
              </w:tabs>
              <w:rPr>
                <w:rFonts w:ascii="GHEA Grapalat" w:hAnsi="GHEA Grapalat"/>
                <w:lang w:val="af-ZA"/>
              </w:rPr>
            </w:pPr>
          </w:p>
          <w:p w:rsidR="00E13353" w:rsidRPr="00081F80" w:rsidRDefault="00E13353" w:rsidP="006F766E">
            <w:pPr>
              <w:pStyle w:val="ListParagraph"/>
              <w:ind w:left="175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40" w:rsidRPr="006936EC" w:rsidRDefault="00000640" w:rsidP="0000064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00640" w:rsidRPr="006936EC" w:rsidRDefault="006C4013" w:rsidP="006C401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6936EC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Հայտնում ենք, որ ՀՀ ֆինանսների նախարարության կողմից դեռևս 2013 թվականի օգոստոս ամսին ներկայացված առաջարկություններն ամփոփվել էին այդ փուլում և կատարվել էին համապատասխան փոփոխություններ, որոնք հենց այդ փոփոխված տարբերակով ներկայացվել էին ՀՀ կառավարություն: Սակայն նախագիծը հետագայում լրամշակվել է՝ նախագծում հաշվի առնելով նաև ՀՀ վերահսկիչ պալատի հետ աշխատանքային կարգով տեղի ունեցած քննարկումների արդյունքները:</w:t>
            </w:r>
          </w:p>
          <w:p w:rsidR="006936EC" w:rsidRPr="006936EC" w:rsidRDefault="006936EC" w:rsidP="006936EC">
            <w:pPr>
              <w:pStyle w:val="ListParagraph"/>
              <w:autoSpaceDE w:val="0"/>
              <w:autoSpaceDN w:val="0"/>
              <w:adjustRightInd w:val="0"/>
              <w:ind w:left="0" w:firstLine="36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6936EC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Այդ կապակցությամբ անհրաժեշտ է նկատի ունենալ, որ ֆինանսների </w:t>
            </w:r>
            <w:r w:rsidRPr="006936EC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lastRenderedPageBreak/>
              <w:t>նախարարության 2013 թվականի օգոստոսի 6-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ի </w:t>
            </w:r>
            <w:r w:rsidRPr="006936EC">
              <w:rPr>
                <w:rFonts w:ascii="GHEA Grapalat" w:hAnsi="GHEA Grapalat"/>
                <w:lang w:val="af-ZA"/>
              </w:rPr>
              <w:t xml:space="preserve">թիվ </w:t>
            </w:r>
            <w:r w:rsidRPr="006936EC">
              <w:rPr>
                <w:rFonts w:ascii="GHEA Grapalat" w:hAnsi="GHEA Grapalat"/>
              </w:rPr>
              <w:t>հ</w:t>
            </w:r>
            <w:r w:rsidRPr="006936EC">
              <w:rPr>
                <w:rFonts w:ascii="GHEA Grapalat" w:hAnsi="GHEA Grapalat"/>
                <w:lang w:val="af-ZA"/>
              </w:rPr>
              <w:t>.1/9.4/11716-13 գրությ</w:t>
            </w:r>
            <w:r>
              <w:rPr>
                <w:rFonts w:ascii="GHEA Grapalat" w:hAnsi="GHEA Grapalat"/>
                <w:lang w:val="af-ZA"/>
              </w:rPr>
              <w:t>ամբ ներկայացված առաջարկությունների</w:t>
            </w:r>
            <w:r w:rsidRPr="006936EC">
              <w:rPr>
                <w:rFonts w:ascii="GHEA Grapalat" w:hAnsi="GHEA Grapalat"/>
                <w:lang w:val="af-ZA"/>
              </w:rPr>
              <w:t xml:space="preserve"> մեծ մասն այլևս վերաբերելի չէ ներկայիս նախագծին, իսկ նախագծի լրամշակված տարբերակը ներկայացվել է </w:t>
            </w:r>
            <w:r w:rsidRPr="006936EC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ֆինանսների նախարարության կարծիքին ՀՀ արդարադատության նախարարության 2014թ. հունվարի 8-ի թիվ </w:t>
            </w:r>
            <w:r w:rsidRPr="006936EC">
              <w:rPr>
                <w:rFonts w:ascii="Sylfaen" w:hAnsi="Sylfaen"/>
                <w:b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6936E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01/47-14 գրությամբ:</w:t>
            </w:r>
          </w:p>
          <w:p w:rsidR="00510747" w:rsidRPr="00510747" w:rsidRDefault="00510747" w:rsidP="00631E1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</w:tc>
      </w:tr>
      <w:tr w:rsidR="007B6685" w:rsidRPr="00102B96" w:rsidTr="00CD2F08">
        <w:trPr>
          <w:trHeight w:val="6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85" w:rsidRPr="00102B96" w:rsidRDefault="007B6685" w:rsidP="007B6685">
            <w:pPr>
              <w:rPr>
                <w:rFonts w:ascii="GHEA Grapalat" w:hAnsi="GHEA Grapalat"/>
                <w:lang w:val="af-ZA"/>
              </w:rPr>
            </w:pPr>
            <w:r w:rsidRPr="00102B96">
              <w:rPr>
                <w:rFonts w:ascii="GHEA Grapalat" w:hAnsi="GHEA Grapalat"/>
                <w:lang w:val="af-ZA"/>
              </w:rPr>
              <w:lastRenderedPageBreak/>
              <w:t>ՀՀ վերահսկիչ պալատ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E" w:rsidRPr="00696F2E" w:rsidRDefault="00696F2E" w:rsidP="00696F2E">
            <w:pPr>
              <w:pStyle w:val="Style8"/>
              <w:widowControl/>
              <w:numPr>
                <w:ilvl w:val="0"/>
                <w:numId w:val="42"/>
              </w:numPr>
              <w:spacing w:before="98" w:line="317" w:lineRule="exact"/>
              <w:ind w:left="0" w:firstLine="360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Հայտնում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Հայաստանի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Հանրապետության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փոփոխություններ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լրացումներ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կատարելու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(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այսուհետ՝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Նախագիծ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) 3-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ամբողջությամբ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րնդունելի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չէ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հետևյալ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պատճառաբանությամբ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.</w:t>
            </w:r>
          </w:p>
          <w:p w:rsidR="00696F2E" w:rsidRPr="006C4013" w:rsidRDefault="00696F2E" w:rsidP="00696F2E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գործող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ինչպես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Գերագույն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ատյանների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միջազգային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կազմակերպության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(INTOSAI)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կողմից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ընդունված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չափորոշիչների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համաձայն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իրականացնում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վերահսկողություն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որոշվում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բյուջետային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միջոցների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պետական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համայնքային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սեփականության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օգտագործման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համապատասխանությունն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lastRenderedPageBreak/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ակտերով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սահմանված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պահանջներին։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Այսինքն՝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վերահսկող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րնթացքում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պետք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իրավասու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6"/>
                <w:rFonts w:ascii="GHEA Grapalat" w:hAnsi="GHEA Grapalat"/>
                <w:b w:val="0"/>
                <w:noProof/>
                <w:sz w:val="24"/>
                <w:szCs w:val="24"/>
              </w:rPr>
              <w:t>լիսի</w:t>
            </w:r>
            <w:r w:rsidRPr="00696F2E">
              <w:rPr>
                <w:rStyle w:val="FontStyle16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տալ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գնահատ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ականներ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այդ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թվում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նաև՝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անել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եզրահանգումներ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հայտնաբերված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խախտումների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հետևանքների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վերաբերյալ։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Վերջինս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գործնականում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կատարվում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="00AF04E6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վերահսկող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իրականացման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արդյունքում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հայտնաբերված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խախտումների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ակտերով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նախատեսված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պատասխանատվության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միջոցներին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ընդամենր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հղում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անելով՝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դրանց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փաստացի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կիրառելիությունր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թողնելով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իրավասու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պատկան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մարմիններին։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Ավելին՝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եթե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հետևանքների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վերաբերյալ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եգրահանգումներ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բառակապակցությունը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վերաբերում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իրավունքի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քրեական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ոլորտին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միայն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ապա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այդ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խնդիրն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արդեն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իսկ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կարգավորված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Մասնավորապես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6-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ամրագրում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քրեաիրավական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բնույթի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.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խախտումների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  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վերաբերյալ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կասկածների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առկայության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դեպքում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նյութերն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ուղարկում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գլխավոր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դատախազություն։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Ուստի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սահմանափակում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նախատեսելը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գործնականում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կխոչընդոտի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միջազգային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իրավարար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փաստաթղթերով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lastRenderedPageBreak/>
              <w:t>սահմանված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կարգով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լիարժեք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համապատասխանության</w:t>
            </w:r>
            <w:r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վերահսկողություն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իրականացնելուն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: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Նույն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հիմավորմամբ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ընդունելի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չէ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</w:t>
            </w:r>
            <w:r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-ի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1.1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կետը։</w:t>
            </w:r>
          </w:p>
          <w:p w:rsidR="00696F2E" w:rsidRPr="006C4013" w:rsidRDefault="00696F2E" w:rsidP="00696F2E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696F2E" w:rsidRPr="006C4013" w:rsidRDefault="00696F2E" w:rsidP="00696F2E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696F2E" w:rsidRPr="006C4013" w:rsidRDefault="00696F2E" w:rsidP="00696F2E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696F2E" w:rsidRPr="00636F32" w:rsidRDefault="00696F2E" w:rsidP="00AF04E6">
            <w:pPr>
              <w:pStyle w:val="Style9"/>
              <w:widowControl/>
              <w:numPr>
                <w:ilvl w:val="0"/>
                <w:numId w:val="42"/>
              </w:numPr>
              <w:spacing w:before="50" w:line="317" w:lineRule="exact"/>
              <w:ind w:left="0" w:firstLine="360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1.3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="00636F32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նույնպ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ընդունելի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չէ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քանզի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ըստ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էությամբ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հակասում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1.2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պահանջներին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ինչի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համաձայն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տարեկան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հաշվետվությունը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չի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կարող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գրառումներ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ներառել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երեք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տարուց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ավել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ընկած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ժամանակահատվածի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համար։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19-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6-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սահմանվում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վերահսկողության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ընթացքում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հայտնաբերված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բոլոր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փաստերն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արձանագրվում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արձանագրությունների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մեջ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որոնք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նույն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9-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համապատասխան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հանդիսանամ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ընթացիկ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հաշվետվությունների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հիմք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որոնց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հիման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վրա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նույն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17-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սահմանված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կարգով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կազմվում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տարեկան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հաշվետվությունները։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Ուստի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1.3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առկայության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դեպքում՝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անհրաժեշտ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է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lastRenderedPageBreak/>
              <w:t>օրենքում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</w:t>
            </w:r>
            <w:r w:rsidR="00AF04E6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եսել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նախորդ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երեք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տարիներից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առաջ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ընկած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ժամանակահաավածին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վերաբերող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խախտումների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արձանագրման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իրավապահ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մարմիներին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ներկայացման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առանձին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իրավական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մեխանիզմ։</w:t>
            </w:r>
          </w:p>
          <w:p w:rsidR="00636F32" w:rsidRDefault="00636F32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D97C76" w:rsidRDefault="00D97C76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D97C76" w:rsidRDefault="00D97C76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D97C76" w:rsidRDefault="00D97C76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D97C76" w:rsidRDefault="00D97C76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AD7ADF" w:rsidRDefault="00AD7ADF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D97C76" w:rsidRDefault="00D97C76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0A094D" w:rsidRPr="00696F2E" w:rsidRDefault="000A094D" w:rsidP="00636F32">
            <w:pPr>
              <w:pStyle w:val="Style9"/>
              <w:widowControl/>
              <w:spacing w:before="50" w:line="317" w:lineRule="exact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</w:p>
          <w:p w:rsidR="00696F2E" w:rsidRPr="00696F2E" w:rsidRDefault="00696F2E" w:rsidP="00636F32">
            <w:pPr>
              <w:pStyle w:val="Style9"/>
              <w:widowControl/>
              <w:numPr>
                <w:ilvl w:val="0"/>
                <w:numId w:val="42"/>
              </w:numPr>
              <w:spacing w:line="317" w:lineRule="exact"/>
              <w:ind w:left="66" w:firstLine="294"/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</w:pP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Միաժամանակ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,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առաջարկում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ենք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Ազգային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ժողովի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կանոնակարգ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օրենքում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կատարել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փոփոխություն՝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89-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2-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)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, 100-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>5-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, 101-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3-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109-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4-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)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նախագահ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բստերը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փոխարինել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Վերահսկիչ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պալատի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ներկայացուցիչ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»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բառերով։</w:t>
            </w:r>
          </w:p>
          <w:p w:rsidR="00696F2E" w:rsidRPr="00636F32" w:rsidRDefault="00696F2E" w:rsidP="00636F32">
            <w:pPr>
              <w:pStyle w:val="Style9"/>
              <w:widowControl/>
              <w:spacing w:line="317" w:lineRule="exact"/>
              <w:rPr>
                <w:rStyle w:val="FontStyle19"/>
                <w:lang w:val="af-ZA"/>
              </w:rPr>
            </w:pP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մյուս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դրույթներն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աշխատանքային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lastRenderedPageBreak/>
              <w:t>կարգով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խմբագրվել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են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Նախագծի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հեղինակների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հետ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տեղի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ունեցած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քննարկումների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արդյունքում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և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այս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պահի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696F2E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դրությամբ</w:t>
            </w:r>
            <w:r w:rsidR="00636F32" w:rsidRPr="00636F32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:</w:t>
            </w:r>
          </w:p>
          <w:p w:rsidR="00E3290D" w:rsidRPr="00636F32" w:rsidRDefault="00E3290D" w:rsidP="00736CB3">
            <w:pPr>
              <w:pStyle w:val="Style8"/>
              <w:widowControl/>
              <w:spacing w:before="194" w:line="240" w:lineRule="auto"/>
              <w:ind w:firstLine="677"/>
              <w:rPr>
                <w:rStyle w:val="FontStyle27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7B6685" w:rsidRPr="006C4013" w:rsidRDefault="007B6685" w:rsidP="00636F32">
            <w:pPr>
              <w:pStyle w:val="Style8"/>
              <w:widowControl/>
              <w:spacing w:line="240" w:lineRule="auto"/>
              <w:ind w:firstLine="590"/>
              <w:rPr>
                <w:rFonts w:ascii="GHEA Grapalat" w:hAnsi="GHEA Grapalat" w:cs="IRTEK Courier"/>
                <w:lang w:val="af-Z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D" w:rsidRPr="00696F2E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696F2E" w:rsidRDefault="00231627" w:rsidP="00231627">
            <w:pPr>
              <w:pStyle w:val="ListParagraph"/>
              <w:numPr>
                <w:ilvl w:val="0"/>
                <w:numId w:val="40"/>
              </w:numPr>
              <w:tabs>
                <w:tab w:val="left" w:pos="175"/>
                <w:tab w:val="left" w:pos="459"/>
              </w:tabs>
              <w:ind w:left="0" w:firstLine="0"/>
              <w:rPr>
                <w:rFonts w:ascii="GHEA Grapalat" w:hAnsi="GHEA Grapalat" w:cs="Sylfaen"/>
                <w:lang w:val="af-ZA"/>
              </w:rPr>
            </w:pPr>
            <w:r w:rsidRPr="00696F2E">
              <w:rPr>
                <w:rFonts w:ascii="GHEA Grapalat" w:hAnsi="GHEA Grapalat" w:cs="Sylfaen"/>
                <w:lang w:val="af-ZA"/>
              </w:rPr>
              <w:t xml:space="preserve"> Չի ընդունվել</w:t>
            </w:r>
          </w:p>
          <w:p w:rsidR="007B6685" w:rsidRPr="00231627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231627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231627" w:rsidRDefault="00231627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231627" w:rsidRPr="00231627" w:rsidRDefault="00231627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5A3E5D" w:rsidRPr="00231627" w:rsidRDefault="005A3E5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231627" w:rsidRPr="00231627" w:rsidRDefault="00231627" w:rsidP="00231627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231627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Pr="004327DD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4327DD" w:rsidRPr="004327DD" w:rsidRDefault="004327D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Pr="00AD7ADF" w:rsidRDefault="00AF04E6" w:rsidP="004327DD">
            <w:pPr>
              <w:tabs>
                <w:tab w:val="left" w:pos="0"/>
                <w:tab w:val="left" w:pos="33"/>
              </w:tabs>
              <w:rPr>
                <w:rFonts w:ascii="GHEA Grapalat" w:hAnsi="GHEA Grapalat" w:cs="Sylfaen"/>
                <w:lang w:val="af-ZA"/>
              </w:rPr>
            </w:pPr>
            <w:r w:rsidRPr="00AD7ADF">
              <w:rPr>
                <w:rFonts w:ascii="GHEA Grapalat" w:hAnsi="GHEA Grapalat" w:cs="Sylfaen"/>
                <w:lang w:val="af-ZA"/>
              </w:rPr>
              <w:t>2</w:t>
            </w:r>
            <w:r w:rsidR="004327DD" w:rsidRPr="00AD7ADF">
              <w:rPr>
                <w:rFonts w:ascii="GHEA Grapalat" w:hAnsi="GHEA Grapalat" w:cs="Sylfaen"/>
                <w:lang w:val="af-ZA"/>
              </w:rPr>
              <w:t>.Չի ընդունվել</w:t>
            </w:r>
          </w:p>
          <w:p w:rsidR="007B6685" w:rsidRPr="004327DD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D97C76" w:rsidRDefault="00D97C76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0A094D" w:rsidRDefault="000A094D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AD7ADF" w:rsidRDefault="00AD7ADF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Pr="00636F32" w:rsidRDefault="00636F32" w:rsidP="00636F32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3. </w:t>
            </w:r>
            <w:r w:rsidRPr="00636F32">
              <w:rPr>
                <w:rFonts w:ascii="GHEA Grapalat" w:hAnsi="GHEA Grapalat" w:cs="Sylfaen"/>
                <w:lang w:val="af-ZA"/>
              </w:rPr>
              <w:t>Չի ընդունվել</w:t>
            </w: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36CB3" w:rsidRDefault="00736CB3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7B6685" w:rsidRDefault="007B6685" w:rsidP="007B6685">
            <w:pPr>
              <w:tabs>
                <w:tab w:val="left" w:pos="175"/>
              </w:tabs>
              <w:rPr>
                <w:rFonts w:ascii="GHEA Grapalat" w:hAnsi="GHEA Grapalat" w:cs="Sylfaen"/>
                <w:lang w:val="af-ZA"/>
              </w:rPr>
            </w:pPr>
          </w:p>
          <w:p w:rsidR="00E3290D" w:rsidRPr="00636F32" w:rsidRDefault="00E3290D" w:rsidP="00636F32">
            <w:pPr>
              <w:tabs>
                <w:tab w:val="left" w:pos="0"/>
                <w:tab w:val="left" w:pos="459"/>
              </w:tabs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D" w:rsidRPr="00231627" w:rsidRDefault="005A3E5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B6685" w:rsidRPr="00AF04E6" w:rsidRDefault="00696F2E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AF04E6">
              <w:rPr>
                <w:rFonts w:ascii="GHEA Grapalat" w:hAnsi="GHEA Grapalat" w:cs="Times Armenian"/>
                <w:lang w:val="af-ZA" w:eastAsia="ru-RU"/>
              </w:rPr>
              <w:t>1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. Անհասկանալի է, թե ինչ 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>խոչընդոտներ</w:t>
            </w:r>
            <w:r w:rsidR="00736CB3" w:rsidRPr="00AF04E6">
              <w:rPr>
                <w:rFonts w:ascii="GHEA Grapalat" w:hAnsi="GHEA Grapalat" w:cs="Times Armenian"/>
                <w:lang w:val="af-ZA" w:eastAsia="ru-RU"/>
              </w:rPr>
              <w:t xml:space="preserve"> կարող են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առաջանալ նախագծով սահմանվող 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>դրույթների կիրառության ժամանակ, երբ խոսքը գնում է միայն</w:t>
            </w:r>
            <w:r w:rsidR="00F82ABB">
              <w:rPr>
                <w:rFonts w:ascii="GHEA Grapalat" w:hAnsi="GHEA Grapalat" w:cs="Times Armenian"/>
                <w:lang w:val="af-ZA" w:eastAsia="ru-RU"/>
              </w:rPr>
              <w:t>,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 xml:space="preserve"> 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>օրինակ</w:t>
            </w:r>
            <w:r w:rsidR="00F82ABB">
              <w:rPr>
                <w:rFonts w:ascii="GHEA Grapalat" w:hAnsi="GHEA Grapalat" w:cs="Times Armenian"/>
                <w:lang w:val="af-ZA" w:eastAsia="ru-RU"/>
              </w:rPr>
              <w:t>,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հայտնաբերված փաստերը որպես հանցագործություն որակելու,</w:t>
            </w:r>
            <w:r w:rsidR="00231627" w:rsidRPr="00AF04E6">
              <w:rPr>
                <w:rFonts w:ascii="GHEA Grapalat" w:hAnsi="GHEA Grapalat" w:cs="Times Armenian"/>
                <w:lang w:val="af-ZA" w:eastAsia="ru-RU"/>
              </w:rPr>
              <w:t xml:space="preserve"> դրանք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որպես քրեաիրավական բնույթի արարքներ որակելու կամ որևէ այլ կերպ </w:t>
            </w:r>
            <w:r w:rsidR="00AF04E6" w:rsidRPr="00AF04E6">
              <w:rPr>
                <w:rFonts w:ascii="GHEA Grapalat" w:hAnsi="GHEA Grapalat" w:cs="Times Armenian"/>
                <w:lang w:val="af-ZA" w:eastAsia="ru-RU"/>
              </w:rPr>
              <w:t>հայտնաբերված խախտումների իրավական հետևանքների վերաբերյալ եզրահանգումներ անելու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արգելքի մասին: Վերահսկիչ պալատը պետք է սահմանափակվի օրենքով սահմաված իր լիազորությունների կատարմամբ, իսկ քրեաիրավական բնույթի տարրեր պարունակող կասկածների դեպքում՝ այդ նյութերը հանձն</w:t>
            </w:r>
            <w:r w:rsidR="00535D6F" w:rsidRPr="00AF04E6">
              <w:rPr>
                <w:rFonts w:ascii="GHEA Grapalat" w:hAnsi="GHEA Grapalat" w:cs="Times Armenian"/>
                <w:lang w:val="af-ZA" w:eastAsia="ru-RU"/>
              </w:rPr>
              <w:t xml:space="preserve">ի </w:t>
            </w:r>
            <w:r w:rsidR="007B6685" w:rsidRPr="00AF04E6">
              <w:rPr>
                <w:rFonts w:ascii="GHEA Grapalat" w:hAnsi="GHEA Grapalat" w:cs="Times Armenian"/>
                <w:i/>
                <w:lang w:val="af-ZA" w:eastAsia="ru-RU"/>
              </w:rPr>
              <w:t>համապատասխան իրավապահ մարմիններին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՝ առանց այդ 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lastRenderedPageBreak/>
              <w:t xml:space="preserve">մասին վերահսկիչ պալատի </w:t>
            </w:r>
            <w:r w:rsidR="00535D6F" w:rsidRPr="00AF04E6">
              <w:rPr>
                <w:rFonts w:ascii="GHEA Grapalat" w:hAnsi="GHEA Grapalat" w:cs="Times Armenian"/>
                <w:lang w:val="af-ZA" w:eastAsia="ru-RU"/>
              </w:rPr>
              <w:t xml:space="preserve">կողմից որակումներ </w:t>
            </w:r>
            <w:r w:rsidR="00AF04E6" w:rsidRPr="00AF04E6">
              <w:rPr>
                <w:rFonts w:ascii="GHEA Grapalat" w:hAnsi="GHEA Grapalat" w:cs="Times Armenian"/>
                <w:lang w:val="af-ZA" w:eastAsia="ru-RU"/>
              </w:rPr>
              <w:t>տալու կամ դրանց հետևանքների մասին եզրահանգումներ անելու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>:</w:t>
            </w:r>
          </w:p>
          <w:p w:rsidR="007B6685" w:rsidRPr="00AF04E6" w:rsidRDefault="00AF04E6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  <w:r w:rsidRPr="00AF04E6">
              <w:rPr>
                <w:rFonts w:ascii="GHEA Grapalat" w:hAnsi="GHEA Grapalat" w:cs="Times Armenian"/>
                <w:lang w:val="af-ZA" w:eastAsia="ru-RU"/>
              </w:rPr>
              <w:t xml:space="preserve">Նույնը վերաբերում է նաև 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քաղաքական 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>գնահատականներ տալու արգելքին: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Այսինքն՝ վերահսկիչ պալատը պետք է զերծ մնա քաղաքական բնույթի 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>գնահատականներից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՝ նկատի ունենալով հենց վերահսկիչ պալատի կողմից </w:t>
            </w:r>
            <w:r w:rsidRPr="00AF04E6">
              <w:rPr>
                <w:rFonts w:ascii="GHEA Grapalat" w:hAnsi="GHEA Grapalat" w:cs="Times Armenian"/>
                <w:lang w:val="af-ZA" w:eastAsia="ru-RU"/>
              </w:rPr>
              <w:t>ՀՀ արդարադատության նախարարությանը ներկայացրած գրություններում հիշատակվող</w:t>
            </w:r>
            <w:r w:rsidR="00535D6F" w:rsidRPr="00AF04E6">
              <w:rPr>
                <w:rFonts w:ascii="GHEA Grapalat" w:hAnsi="GHEA Grapalat" w:cs="Times Armenian"/>
                <w:lang w:val="af-ZA" w:eastAsia="ru-RU"/>
              </w:rPr>
              <w:t>՝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աշխարհի բոլոր բարձրագույն վերահսկիչ պալատներին հատուկ «անկախ, զերծ որևէ ազդեցությունից, այդ թվում քաղաքական դաշտից» սկզբունքները: Հետևաբար</w:t>
            </w:r>
            <w:r w:rsidR="00535D6F" w:rsidRPr="00AF04E6">
              <w:rPr>
                <w:rFonts w:ascii="GHEA Grapalat" w:hAnsi="GHEA Grapalat" w:cs="Times Armenian"/>
                <w:lang w:val="af-ZA" w:eastAsia="ru-RU"/>
              </w:rPr>
              <w:t>, վերահսկիչ պալատի կողմից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նախագծով </w:t>
            </w:r>
            <w:r w:rsidR="00535D6F" w:rsidRPr="00AF04E6">
              <w:rPr>
                <w:rFonts w:ascii="GHEA Grapalat" w:hAnsi="GHEA Grapalat" w:cs="Times Armenian"/>
                <w:lang w:val="af-ZA" w:eastAsia="ru-RU"/>
              </w:rPr>
              <w:t xml:space="preserve">սահմանված 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դրույթների կիրառման անհնարինության մասին խոսք գնալ չի կարող, քանի որ դրանք </w:t>
            </w:r>
            <w:r w:rsidR="00231627" w:rsidRPr="00AF04E6">
              <w:rPr>
                <w:rFonts w:ascii="GHEA Grapalat" w:hAnsi="GHEA Grapalat" w:cs="Times Armenian"/>
                <w:lang w:val="af-ZA" w:eastAsia="ru-RU"/>
              </w:rPr>
              <w:t>առավել</w:t>
            </w:r>
            <w:r w:rsidR="007B6685" w:rsidRPr="00AF04E6">
              <w:rPr>
                <w:rFonts w:ascii="GHEA Grapalat" w:hAnsi="GHEA Grapalat" w:cs="Times Armenian"/>
                <w:lang w:val="af-ZA" w:eastAsia="ru-RU"/>
              </w:rPr>
              <w:t xml:space="preserve"> հստակեցնում են ներկայումս առկա կարգավորումները: </w:t>
            </w:r>
          </w:p>
          <w:p w:rsidR="007B6685" w:rsidRPr="00AF04E6" w:rsidRDefault="007B6685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535D6F" w:rsidRDefault="00535D6F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535D6F" w:rsidRDefault="00535D6F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535D6F" w:rsidRDefault="00535D6F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535D6F" w:rsidRDefault="00535D6F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4327DD" w:rsidRDefault="004327D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4327DD" w:rsidRDefault="004327D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4327DD" w:rsidRDefault="004327D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4327DD" w:rsidRPr="004327DD" w:rsidRDefault="004327D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4327DD" w:rsidRPr="004327DD" w:rsidRDefault="004327DD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B6685" w:rsidRPr="00AD7ADF" w:rsidRDefault="00D97C76" w:rsidP="00AD7AD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Style w:val="FontStyle27"/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AD7ADF">
              <w:rPr>
                <w:rFonts w:ascii="GHEA Grapalat" w:hAnsi="GHEA Grapalat" w:cs="Times Armenian"/>
                <w:lang w:val="af-ZA" w:eastAsia="ru-RU"/>
              </w:rPr>
              <w:t>2.</w:t>
            </w:r>
            <w:r w:rsidR="004327DD" w:rsidRPr="00AD7ADF">
              <w:rPr>
                <w:rFonts w:ascii="GHEA Grapalat" w:hAnsi="GHEA Grapalat" w:cs="Times Armenian"/>
                <w:lang w:val="af-ZA" w:eastAsia="ru-RU"/>
              </w:rPr>
              <w:t xml:space="preserve"> </w:t>
            </w:r>
            <w:r w:rsidR="00636F32" w:rsidRPr="00AD7ADF">
              <w:rPr>
                <w:rFonts w:ascii="GHEA Grapalat" w:hAnsi="GHEA Grapalat" w:cs="Times Armenian"/>
                <w:lang w:val="af-ZA" w:eastAsia="ru-RU"/>
              </w:rPr>
              <w:t xml:space="preserve">Անհասկանալի է, թե ինչ հակասության մասին է խոսքը գնում նախագծի 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4-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1-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1.2-րդ և 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1.3-րդ </w:t>
            </w:r>
            <w:r w:rsidR="00636F32"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կետ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երի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միջև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: Մասնավորապես</w:t>
            </w:r>
            <w:r w:rsidRPr="00AD7ADF">
              <w:rPr>
                <w:rFonts w:ascii="GHEA Grapalat" w:hAnsi="GHEA Grapalat" w:cs="Times Armenian"/>
                <w:lang w:val="af-ZA" w:eastAsia="ru-RU"/>
              </w:rPr>
              <w:t xml:space="preserve"> նախագծի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4-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1-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1.2-րդ</w:t>
            </w:r>
            <w:r w:rsidRPr="00AD7ADF">
              <w:rPr>
                <w:rFonts w:ascii="GHEA Grapalat" w:hAnsi="GHEA Grapalat" w:cs="Times Armenian"/>
                <w:lang w:val="af-ZA" w:eastAsia="ru-RU"/>
              </w:rPr>
              <w:t xml:space="preserve"> կետով սահմանվել է, որ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վերահսկիչ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պալատի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տարեկան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հաշվետվությունը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չի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/>
                <w:color w:val="000000"/>
              </w:rPr>
              <w:t>կարող</w:t>
            </w:r>
            <w:r w:rsidRPr="00AD7ADF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գրառումներ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ներառել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հաշվետու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տարվան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նախորդող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երեք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տարիներից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առաջ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ընկած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ժամանակահատվածում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կատարված</w:t>
            </w:r>
            <w:r w:rsidRPr="00AD7AD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խախտումների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վերաբերյալ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Իսկ </w:t>
            </w:r>
            <w:r w:rsidRPr="00AD7ADF">
              <w:rPr>
                <w:rFonts w:ascii="GHEA Grapalat" w:hAnsi="GHEA Grapalat" w:cs="Times Armenian"/>
                <w:lang w:val="af-ZA" w:eastAsia="ru-RU"/>
              </w:rPr>
              <w:t xml:space="preserve"> նախագծի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>4-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րդ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հոդվածի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1-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ին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</w:rPr>
              <w:t>մասի</w:t>
            </w:r>
            <w:r w:rsidRPr="00AD7ADF">
              <w:rPr>
                <w:rStyle w:val="FontStyle19"/>
                <w:rFonts w:ascii="GHEA Grapalat" w:hAnsi="GHEA Grapalat"/>
                <w:b w:val="0"/>
                <w:noProof/>
                <w:sz w:val="24"/>
                <w:szCs w:val="24"/>
                <w:lang w:val="af-ZA"/>
              </w:rPr>
              <w:t xml:space="preserve"> 1.3-րդ</w:t>
            </w:r>
            <w:r w:rsidRPr="00AD7ADF">
              <w:rPr>
                <w:rFonts w:ascii="GHEA Grapalat" w:hAnsi="GHEA Grapalat" w:cs="Times Armenian"/>
                <w:lang w:val="af-ZA" w:eastAsia="ru-RU"/>
              </w:rPr>
              <w:t xml:space="preserve"> կետով սահմանվել է,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որ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սահմանված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ժամկետից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/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երեք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i/>
                <w:color w:val="000000"/>
                <w:shd w:val="clear" w:color="auto" w:fill="FFFFFF"/>
              </w:rPr>
              <w:t>տարիներից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/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առաջ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կատարված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խախտումներ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հայտնաբերելու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վերահսկիչ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պալատը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նյութերը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ներկայացնում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իրավապահ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մարմիններին</w:t>
            </w:r>
            <w:r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Հետևաբար ակնհայտ է, որ </w:t>
            </w:r>
            <w:r w:rsidR="004327DD" w:rsidRPr="00AD7ADF">
              <w:rPr>
                <w:rFonts w:ascii="GHEA Grapalat" w:hAnsi="GHEA Grapalat" w:cs="Times Armenian"/>
                <w:lang w:val="af-ZA" w:eastAsia="ru-RU"/>
              </w:rPr>
              <w:t xml:space="preserve">բուն </w:t>
            </w:r>
            <w:r w:rsidR="004327DD" w:rsidRPr="00AD7ADF">
              <w:rPr>
                <w:rFonts w:ascii="GHEA Grapalat" w:hAnsi="GHEA Grapalat" w:cs="Times Armenian"/>
                <w:i/>
                <w:lang w:val="af-ZA" w:eastAsia="ru-RU"/>
              </w:rPr>
              <w:t>հաշվետվության մեջ</w:t>
            </w:r>
            <w:r w:rsidR="004327DD" w:rsidRPr="00AD7ADF">
              <w:rPr>
                <w:rFonts w:ascii="GHEA Grapalat" w:hAnsi="GHEA Grapalat" w:cs="Times Armenian"/>
                <w:lang w:val="af-ZA" w:eastAsia="ru-RU"/>
              </w:rPr>
              <w:t xml:space="preserve"> կարող են ներառվել միայն հաշվետու տարվան </w:t>
            </w:r>
            <w:r w:rsidR="004327DD" w:rsidRPr="00AD7ADF">
              <w:rPr>
                <w:rFonts w:ascii="GHEA Grapalat" w:hAnsi="GHEA Grapalat" w:cs="Times Armenian"/>
                <w:lang w:val="af-ZA" w:eastAsia="ru-RU"/>
              </w:rPr>
              <w:lastRenderedPageBreak/>
              <w:t xml:space="preserve">նախորդող մինչև </w:t>
            </w:r>
            <w:r w:rsidR="009E281D" w:rsidRPr="00AD7ADF">
              <w:rPr>
                <w:rFonts w:ascii="GHEA Grapalat" w:hAnsi="GHEA Grapalat" w:cs="Times Armenian"/>
                <w:lang w:val="af-ZA" w:eastAsia="ru-RU"/>
              </w:rPr>
              <w:t>երեք տարիների</w:t>
            </w:r>
            <w:r w:rsidR="004327DD" w:rsidRPr="00AD7ADF">
              <w:rPr>
                <w:rFonts w:ascii="GHEA Grapalat" w:hAnsi="GHEA Grapalat" w:cs="Times Armenian"/>
                <w:lang w:val="af-ZA" w:eastAsia="ru-RU"/>
              </w:rPr>
              <w:t xml:space="preserve"> ժամանակահատվածում կատարված խախտումների վերաբերյալ</w:t>
            </w:r>
            <w:r w:rsidR="009E281D" w:rsidRPr="00AD7ADF">
              <w:rPr>
                <w:rFonts w:ascii="GHEA Grapalat" w:hAnsi="GHEA Grapalat" w:cs="Times Armenian"/>
                <w:lang w:val="af-ZA" w:eastAsia="ru-RU"/>
              </w:rPr>
              <w:t xml:space="preserve"> գրառումներ,</w:t>
            </w:r>
            <w:r w:rsidR="00AD7ADF" w:rsidRPr="00AD7ADF">
              <w:rPr>
                <w:rFonts w:ascii="GHEA Grapalat" w:hAnsi="GHEA Grapalat" w:cs="Times Armenian"/>
                <w:lang w:val="af-ZA" w:eastAsia="ru-RU"/>
              </w:rPr>
              <w:t xml:space="preserve"> իսկ այդ ժամանակահատվածից առաջ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կատարված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խախտումներ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հայտնաբերելու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վերահսկիչ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պալատը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նյութերը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ներկայացնում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իրավապահ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մարմիններին</w:t>
            </w:r>
            <w:r w:rsidR="000A094D" w:rsidRP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="000A094D">
              <w:rPr>
                <w:rFonts w:ascii="GHEA Grapalat" w:hAnsi="GHEA Grapalat" w:cs="Sylfaen"/>
                <w:color w:val="000000"/>
                <w:shd w:val="clear" w:color="auto" w:fill="FFFFFF"/>
              </w:rPr>
              <w:t>Իսկ</w:t>
            </w:r>
            <w:r w:rsidR="000A094D" w:rsidRP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0A094D">
              <w:rPr>
                <w:rFonts w:ascii="GHEA Grapalat" w:hAnsi="GHEA Grapalat" w:cs="Sylfaen"/>
                <w:color w:val="000000"/>
                <w:shd w:val="clear" w:color="auto" w:fill="FFFFFF"/>
              </w:rPr>
              <w:t>ինչ</w:t>
            </w:r>
            <w:r w:rsidR="000A094D" w:rsidRP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0A094D">
              <w:rPr>
                <w:rFonts w:ascii="GHEA Grapalat" w:hAnsi="GHEA Grapalat" w:cs="Sylfaen"/>
                <w:color w:val="000000"/>
                <w:shd w:val="clear" w:color="auto" w:fill="FFFFFF"/>
              </w:rPr>
              <w:t>վերաբերում</w:t>
            </w:r>
            <w:r w:rsidR="000A094D" w:rsidRP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է դրա համար առանձին մեխանիզմների սահմանմանը, ապա գտնում ենք, որ դրա կարիքը չկա, քանի որ դա պետք է իրականացվի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>
              <w:rPr>
                <w:rFonts w:ascii="GHEA Grapalat" w:hAnsi="GHEA Grapalat" w:cs="Sylfaen"/>
                <w:color w:val="000000"/>
                <w:shd w:val="clear" w:color="auto" w:fill="FFFFFF"/>
              </w:rPr>
              <w:t>այնպես</w:t>
            </w:r>
            <w:r w:rsidR="000A094D" w:rsidRPr="000A094D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</w:t>
            </w:r>
            <w:r w:rsidR="00AD7ADF" w:rsidRP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AD7ADF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ինչպես </w:t>
            </w:r>
            <w:r w:rsidR="00AD7ADF">
              <w:rPr>
                <w:rStyle w:val="FontStyle27"/>
                <w:rFonts w:ascii="GHEA Grapalat" w:hAnsi="GHEA Grapalat"/>
                <w:noProof/>
                <w:sz w:val="22"/>
                <w:szCs w:val="22"/>
              </w:rPr>
              <w:t>գործող</w:t>
            </w:r>
            <w:r w:rsidR="000A094D">
              <w:rPr>
                <w:rStyle w:val="FontStyle27"/>
                <w:rFonts w:ascii="GHEA Grapalat" w:hAnsi="GHEA Grapalat"/>
                <w:noProof/>
                <w:sz w:val="22"/>
                <w:szCs w:val="22"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օրենքի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0A094D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հիման վրա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վերահսկիչ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0A094D" w:rsidRPr="00F82ABB">
              <w:rPr>
                <w:rStyle w:val="FontStyle27"/>
                <w:rFonts w:ascii="GHEA Grapalat" w:hAnsi="GHEA Grapalat"/>
                <w:noProof/>
              </w:rPr>
              <w:t>պալատը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քրեաիրավական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բնույթի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կասկածների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առկայության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դեպքում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վերահսկողության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արդյունքներն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ուղարկում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է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2"/>
                <w:rFonts w:ascii="GHEA Grapalat" w:hAnsi="GHEA Grapalat"/>
                <w:b w:val="0"/>
                <w:i w:val="0"/>
                <w:noProof/>
                <w:spacing w:val="-20"/>
                <w:sz w:val="24"/>
                <w:szCs w:val="24"/>
                <w:lang w:val="af-ZA"/>
              </w:rPr>
              <w:t xml:space="preserve"> </w:t>
            </w:r>
            <w:r w:rsidR="00AD7ADF" w:rsidRPr="00F82ABB">
              <w:rPr>
                <w:rStyle w:val="FontStyle22"/>
                <w:rFonts w:ascii="GHEA Grapalat" w:hAnsi="GHEA Grapalat"/>
                <w:b w:val="0"/>
                <w:i w:val="0"/>
                <w:noProof/>
                <w:spacing w:val="-20"/>
                <w:sz w:val="24"/>
                <w:szCs w:val="24"/>
              </w:rPr>
              <w:t>ՀՀ</w:t>
            </w:r>
            <w:r w:rsidR="00AD7ADF" w:rsidRPr="00F82ABB">
              <w:rPr>
                <w:rStyle w:val="FontStyle22"/>
                <w:rFonts w:ascii="GHEA Grapalat" w:hAnsi="GHEA Grapalat"/>
                <w:noProof/>
                <w:sz w:val="24"/>
                <w:szCs w:val="24"/>
                <w:lang w:val="af-ZA"/>
              </w:rPr>
              <w:t xml:space="preserve"> 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գլխավոր</w:t>
            </w:r>
            <w:r w:rsidR="00AD7ADF" w:rsidRPr="00F82ABB">
              <w:rPr>
                <w:rStyle w:val="FontStyle27"/>
                <w:rFonts w:ascii="GHEA Grapalat" w:hAnsi="GHEA Grapalat"/>
                <w:noProof/>
                <w:lang w:val="af-ZA"/>
              </w:rPr>
              <w:t xml:space="preserve"> </w:t>
            </w:r>
            <w:r w:rsidR="00AD7ADF" w:rsidRPr="00F82ABB">
              <w:rPr>
                <w:rStyle w:val="FontStyle27"/>
                <w:rFonts w:ascii="GHEA Grapalat" w:hAnsi="GHEA Grapalat"/>
                <w:noProof/>
              </w:rPr>
              <w:t>դատախազությու</w:t>
            </w:r>
            <w:r w:rsidR="000A094D" w:rsidRPr="00F82AB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ն:</w:t>
            </w:r>
          </w:p>
          <w:p w:rsidR="00636F32" w:rsidRDefault="00636F32" w:rsidP="004327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636F32" w:rsidRDefault="00636F32" w:rsidP="004327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636F32" w:rsidRDefault="00636F32" w:rsidP="004327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9E281D" w:rsidRPr="00636F32" w:rsidRDefault="00636F32" w:rsidP="00636F32">
            <w:pPr>
              <w:autoSpaceDE w:val="0"/>
              <w:autoSpaceDN w:val="0"/>
              <w:adjustRightInd w:val="0"/>
              <w:ind w:left="57" w:firstLine="303"/>
              <w:jc w:val="both"/>
              <w:rPr>
                <w:rStyle w:val="FontStyle27"/>
                <w:rFonts w:ascii="GHEA Grapalat" w:hAnsi="GHEA Grapalat"/>
                <w:noProof/>
                <w:lang w:val="af-ZA"/>
              </w:rPr>
            </w:pPr>
            <w:r w:rsidRPr="00636F32">
              <w:rPr>
                <w:rFonts w:ascii="GHEA Grapalat" w:hAnsi="GHEA Grapalat" w:cs="Times Armenian"/>
                <w:lang w:val="af-ZA" w:eastAsia="ru-RU"/>
              </w:rPr>
              <w:t xml:space="preserve">3. </w:t>
            </w:r>
            <w:r w:rsidR="00AF04E6" w:rsidRPr="00636F32">
              <w:rPr>
                <w:rFonts w:ascii="GHEA Grapalat" w:hAnsi="GHEA Grapalat" w:cs="Times Armenian"/>
                <w:lang w:val="af-ZA" w:eastAsia="ru-RU"/>
              </w:rPr>
              <w:t>Նշված առաջարկությունը չի ընդունվել, քանի որ այն դուրս է նախագծի կարգավորման առարկայից: Միաժամանակ պարզ չէ նաև առաջարկվող փոփոխությունների հիմնավորվածությունը և անհրաժեշտությունը</w:t>
            </w:r>
            <w:r w:rsidR="00F82ABB">
              <w:rPr>
                <w:rFonts w:ascii="GHEA Grapalat" w:hAnsi="GHEA Grapalat" w:cs="Times Armenian"/>
                <w:lang w:val="af-ZA" w:eastAsia="ru-RU"/>
              </w:rPr>
              <w:t>:</w:t>
            </w:r>
          </w:p>
          <w:p w:rsidR="009E281D" w:rsidRDefault="009E281D" w:rsidP="004327DD">
            <w:pPr>
              <w:autoSpaceDE w:val="0"/>
              <w:autoSpaceDN w:val="0"/>
              <w:adjustRightInd w:val="0"/>
              <w:jc w:val="both"/>
              <w:rPr>
                <w:rStyle w:val="FontStyle27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9E281D" w:rsidRDefault="009E281D" w:rsidP="004327DD">
            <w:pPr>
              <w:autoSpaceDE w:val="0"/>
              <w:autoSpaceDN w:val="0"/>
              <w:adjustRightInd w:val="0"/>
              <w:jc w:val="both"/>
              <w:rPr>
                <w:rStyle w:val="FontStyle27"/>
                <w:rFonts w:ascii="GHEA Grapalat" w:hAnsi="GHEA Grapalat"/>
                <w:noProof/>
                <w:sz w:val="22"/>
                <w:szCs w:val="22"/>
                <w:lang w:val="af-ZA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36CB3" w:rsidRDefault="00736CB3" w:rsidP="007B66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 w:eastAsia="ru-RU"/>
              </w:rPr>
            </w:pPr>
          </w:p>
          <w:p w:rsidR="007B6685" w:rsidRPr="00BF18CA" w:rsidRDefault="007B6685" w:rsidP="00636F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lang w:val="af-ZA"/>
              </w:rPr>
            </w:pPr>
          </w:p>
        </w:tc>
      </w:tr>
    </w:tbl>
    <w:p w:rsidR="009F2018" w:rsidRPr="00E13353" w:rsidRDefault="009F2018" w:rsidP="00BA14E5">
      <w:pPr>
        <w:rPr>
          <w:rFonts w:ascii="GHEA Grapalat" w:hAnsi="GHEA Grapalat"/>
          <w:sz w:val="22"/>
          <w:szCs w:val="22"/>
          <w:lang w:val="af-ZA"/>
        </w:rPr>
      </w:pPr>
    </w:p>
    <w:sectPr w:rsidR="009F2018" w:rsidRPr="00E13353" w:rsidSect="00AD5C74">
      <w:pgSz w:w="16838" w:h="11906" w:orient="landscape"/>
      <w:pgMar w:top="113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6BE" w:rsidRDefault="000876BE" w:rsidP="007B6685">
      <w:r>
        <w:separator/>
      </w:r>
    </w:p>
  </w:endnote>
  <w:endnote w:type="continuationSeparator" w:id="0">
    <w:p w:rsidR="000876BE" w:rsidRDefault="000876BE" w:rsidP="007B6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6BE" w:rsidRDefault="000876BE" w:rsidP="007B6685">
      <w:r>
        <w:separator/>
      </w:r>
    </w:p>
  </w:footnote>
  <w:footnote w:type="continuationSeparator" w:id="0">
    <w:p w:rsidR="000876BE" w:rsidRDefault="000876BE" w:rsidP="007B6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9CDBCE"/>
    <w:lvl w:ilvl="0">
      <w:numFmt w:val="bullet"/>
      <w:lvlText w:val="*"/>
      <w:lvlJc w:val="left"/>
    </w:lvl>
  </w:abstractNum>
  <w:abstractNum w:abstractNumId="1">
    <w:nsid w:val="04E744E4"/>
    <w:multiLevelType w:val="hybridMultilevel"/>
    <w:tmpl w:val="F92E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08B0"/>
    <w:multiLevelType w:val="hybridMultilevel"/>
    <w:tmpl w:val="F196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D5887"/>
    <w:multiLevelType w:val="singleLevel"/>
    <w:tmpl w:val="FDCE83F6"/>
    <w:lvl w:ilvl="0">
      <w:start w:val="7"/>
      <w:numFmt w:val="decimal"/>
      <w:lvlText w:val="%1."/>
      <w:legacy w:legacy="1" w:legacySpace="0" w:legacyIndent="670"/>
      <w:lvlJc w:val="left"/>
      <w:rPr>
        <w:rFonts w:ascii="Sylfaen" w:hAnsi="Sylfaen" w:hint="default"/>
      </w:rPr>
    </w:lvl>
  </w:abstractNum>
  <w:abstractNum w:abstractNumId="4">
    <w:nsid w:val="0882188C"/>
    <w:multiLevelType w:val="hybridMultilevel"/>
    <w:tmpl w:val="46AA5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54B8D"/>
    <w:multiLevelType w:val="hybridMultilevel"/>
    <w:tmpl w:val="62663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CC5099"/>
    <w:multiLevelType w:val="hybridMultilevel"/>
    <w:tmpl w:val="86CA9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B3E9B"/>
    <w:multiLevelType w:val="hybridMultilevel"/>
    <w:tmpl w:val="BBA2D6C4"/>
    <w:lvl w:ilvl="0" w:tplc="808049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73A7C"/>
    <w:multiLevelType w:val="hybridMultilevel"/>
    <w:tmpl w:val="5CB64150"/>
    <w:lvl w:ilvl="0" w:tplc="F894E6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10831A06"/>
    <w:multiLevelType w:val="hybridMultilevel"/>
    <w:tmpl w:val="AAE0E0BE"/>
    <w:lvl w:ilvl="0" w:tplc="C4C697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A5EE2"/>
    <w:multiLevelType w:val="hybridMultilevel"/>
    <w:tmpl w:val="A2A6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E1832"/>
    <w:multiLevelType w:val="hybridMultilevel"/>
    <w:tmpl w:val="AED6F656"/>
    <w:lvl w:ilvl="0" w:tplc="4BE629C4">
      <w:start w:val="1"/>
      <w:numFmt w:val="decimal"/>
      <w:lvlText w:val="%1."/>
      <w:lvlJc w:val="left"/>
      <w:pPr>
        <w:ind w:left="1064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B2ED5"/>
    <w:multiLevelType w:val="hybridMultilevel"/>
    <w:tmpl w:val="C0E22664"/>
    <w:lvl w:ilvl="0" w:tplc="E49264FA">
      <w:start w:val="6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757AC"/>
    <w:multiLevelType w:val="hybridMultilevel"/>
    <w:tmpl w:val="ABC42384"/>
    <w:lvl w:ilvl="0" w:tplc="819CA264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976FC"/>
    <w:multiLevelType w:val="hybridMultilevel"/>
    <w:tmpl w:val="BA68C9CA"/>
    <w:lvl w:ilvl="0" w:tplc="C9A69D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27767F3"/>
    <w:multiLevelType w:val="hybridMultilevel"/>
    <w:tmpl w:val="A768F37A"/>
    <w:lvl w:ilvl="0" w:tplc="0AF00406">
      <w:start w:val="1"/>
      <w:numFmt w:val="decimal"/>
      <w:lvlText w:val="%1)"/>
      <w:lvlJc w:val="left"/>
      <w:pPr>
        <w:ind w:left="140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254338B4"/>
    <w:multiLevelType w:val="hybridMultilevel"/>
    <w:tmpl w:val="256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F4A1F"/>
    <w:multiLevelType w:val="hybridMultilevel"/>
    <w:tmpl w:val="F08E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305FC"/>
    <w:multiLevelType w:val="hybridMultilevel"/>
    <w:tmpl w:val="3542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61CD6"/>
    <w:multiLevelType w:val="hybridMultilevel"/>
    <w:tmpl w:val="8B7E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02386"/>
    <w:multiLevelType w:val="hybridMultilevel"/>
    <w:tmpl w:val="0144E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695" w:hanging="975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897F01"/>
    <w:multiLevelType w:val="singleLevel"/>
    <w:tmpl w:val="1D92E3A6"/>
    <w:lvl w:ilvl="0">
      <w:start w:val="5"/>
      <w:numFmt w:val="decimal"/>
      <w:lvlText w:val="%1."/>
      <w:legacy w:legacy="1" w:legacySpace="0" w:legacyIndent="670"/>
      <w:lvlJc w:val="left"/>
      <w:rPr>
        <w:rFonts w:ascii="Sylfaen" w:hAnsi="Sylfaen" w:hint="default"/>
      </w:rPr>
    </w:lvl>
  </w:abstractNum>
  <w:abstractNum w:abstractNumId="22">
    <w:nsid w:val="37DE0342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FD11A6"/>
    <w:multiLevelType w:val="hybridMultilevel"/>
    <w:tmpl w:val="843A2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7512EC"/>
    <w:multiLevelType w:val="hybridMultilevel"/>
    <w:tmpl w:val="D3B2FD46"/>
    <w:lvl w:ilvl="0" w:tplc="A470CF4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D0337"/>
    <w:multiLevelType w:val="singleLevel"/>
    <w:tmpl w:val="1EA2B0A0"/>
    <w:lvl w:ilvl="0">
      <w:start w:val="1"/>
      <w:numFmt w:val="decimal"/>
      <w:lvlText w:val="%1."/>
      <w:legacy w:legacy="1" w:legacySpace="0" w:legacyIndent="677"/>
      <w:lvlJc w:val="left"/>
      <w:rPr>
        <w:rFonts w:ascii="Sylfaen" w:hAnsi="Sylfaen" w:hint="default"/>
      </w:rPr>
    </w:lvl>
  </w:abstractNum>
  <w:abstractNum w:abstractNumId="26">
    <w:nsid w:val="3B7826AD"/>
    <w:multiLevelType w:val="hybridMultilevel"/>
    <w:tmpl w:val="B2B0867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415CE"/>
    <w:multiLevelType w:val="hybridMultilevel"/>
    <w:tmpl w:val="3FBCA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FC67AA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3539EE"/>
    <w:multiLevelType w:val="hybridMultilevel"/>
    <w:tmpl w:val="2E9EC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7D1F05"/>
    <w:multiLevelType w:val="hybridMultilevel"/>
    <w:tmpl w:val="946EC5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9778AA"/>
    <w:multiLevelType w:val="hybridMultilevel"/>
    <w:tmpl w:val="20C205DC"/>
    <w:lvl w:ilvl="0" w:tplc="198EAE58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25489"/>
    <w:multiLevelType w:val="hybridMultilevel"/>
    <w:tmpl w:val="93DCC286"/>
    <w:lvl w:ilvl="0" w:tplc="5B8430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BEC254A"/>
    <w:multiLevelType w:val="hybridMultilevel"/>
    <w:tmpl w:val="A6908BD4"/>
    <w:lvl w:ilvl="0" w:tplc="577A75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2652B"/>
    <w:multiLevelType w:val="hybridMultilevel"/>
    <w:tmpl w:val="6F36F4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01B14"/>
    <w:multiLevelType w:val="hybridMultilevel"/>
    <w:tmpl w:val="6B7E4DC4"/>
    <w:lvl w:ilvl="0" w:tplc="4B9615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C375B"/>
    <w:multiLevelType w:val="hybridMultilevel"/>
    <w:tmpl w:val="53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A74BF"/>
    <w:multiLevelType w:val="hybridMultilevel"/>
    <w:tmpl w:val="89D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92638"/>
    <w:multiLevelType w:val="hybridMultilevel"/>
    <w:tmpl w:val="F9E8E17C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841560"/>
    <w:multiLevelType w:val="hybridMultilevel"/>
    <w:tmpl w:val="6D96A08C"/>
    <w:lvl w:ilvl="0" w:tplc="A740CC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C7FA2"/>
    <w:multiLevelType w:val="hybridMultilevel"/>
    <w:tmpl w:val="AA12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AB1"/>
    <w:multiLevelType w:val="hybridMultilevel"/>
    <w:tmpl w:val="113ED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76E0E"/>
    <w:multiLevelType w:val="hybridMultilevel"/>
    <w:tmpl w:val="C70A6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CCE450">
      <w:start w:val="1"/>
      <w:numFmt w:val="decimal"/>
      <w:lvlText w:val="%2."/>
      <w:lvlJc w:val="left"/>
      <w:pPr>
        <w:ind w:left="1695" w:hanging="9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150B85"/>
    <w:multiLevelType w:val="hybridMultilevel"/>
    <w:tmpl w:val="D1EA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3"/>
  </w:num>
  <w:num w:numId="5">
    <w:abstractNumId w:val="36"/>
  </w:num>
  <w:num w:numId="6">
    <w:abstractNumId w:val="35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4"/>
  </w:num>
  <w:num w:numId="17">
    <w:abstractNumId w:val="29"/>
  </w:num>
  <w:num w:numId="18">
    <w:abstractNumId w:val="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6"/>
  </w:num>
  <w:num w:numId="22">
    <w:abstractNumId w:val="7"/>
  </w:num>
  <w:num w:numId="23">
    <w:abstractNumId w:val="40"/>
  </w:num>
  <w:num w:numId="24">
    <w:abstractNumId w:val="2"/>
  </w:num>
  <w:num w:numId="25">
    <w:abstractNumId w:val="41"/>
  </w:num>
  <w:num w:numId="26">
    <w:abstractNumId w:val="16"/>
  </w:num>
  <w:num w:numId="27">
    <w:abstractNumId w:val="10"/>
  </w:num>
  <w:num w:numId="28">
    <w:abstractNumId w:val="18"/>
  </w:num>
  <w:num w:numId="29">
    <w:abstractNumId w:val="39"/>
  </w:num>
  <w:num w:numId="30">
    <w:abstractNumId w:val="13"/>
  </w:num>
  <w:num w:numId="31">
    <w:abstractNumId w:val="12"/>
  </w:num>
  <w:num w:numId="32">
    <w:abstractNumId w:val="32"/>
  </w:num>
  <w:num w:numId="33">
    <w:abstractNumId w:val="14"/>
  </w:num>
  <w:num w:numId="34">
    <w:abstractNumId w:val="37"/>
  </w:num>
  <w:num w:numId="35">
    <w:abstractNumId w:val="25"/>
  </w:num>
  <w:num w:numId="36">
    <w:abstractNumId w:val="21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38"/>
        <w:lvlJc w:val="left"/>
        <w:rPr>
          <w:rFonts w:ascii="Sylfaen" w:hAnsi="Sylfaen" w:hint="default"/>
        </w:rPr>
      </w:lvl>
    </w:lvlOverride>
  </w:num>
  <w:num w:numId="38">
    <w:abstractNumId w:val="3"/>
  </w:num>
  <w:num w:numId="39">
    <w:abstractNumId w:val="9"/>
  </w:num>
  <w:num w:numId="40">
    <w:abstractNumId w:val="19"/>
  </w:num>
  <w:num w:numId="41">
    <w:abstractNumId w:val="33"/>
  </w:num>
  <w:num w:numId="42">
    <w:abstractNumId w:val="17"/>
  </w:num>
  <w:num w:numId="43">
    <w:abstractNumId w:val="31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DA6"/>
    <w:rsid w:val="00000640"/>
    <w:rsid w:val="00020721"/>
    <w:rsid w:val="0002183F"/>
    <w:rsid w:val="00022DE2"/>
    <w:rsid w:val="00054BB7"/>
    <w:rsid w:val="00081F80"/>
    <w:rsid w:val="000876BE"/>
    <w:rsid w:val="000A094D"/>
    <w:rsid w:val="000E2574"/>
    <w:rsid w:val="00102B96"/>
    <w:rsid w:val="0010745B"/>
    <w:rsid w:val="0011026A"/>
    <w:rsid w:val="0011105F"/>
    <w:rsid w:val="00141538"/>
    <w:rsid w:val="00165D92"/>
    <w:rsid w:val="001A0D2B"/>
    <w:rsid w:val="001B1CBA"/>
    <w:rsid w:val="001C1EF8"/>
    <w:rsid w:val="001E455C"/>
    <w:rsid w:val="00231627"/>
    <w:rsid w:val="002419E8"/>
    <w:rsid w:val="00244CE0"/>
    <w:rsid w:val="00267988"/>
    <w:rsid w:val="0027303E"/>
    <w:rsid w:val="0027751E"/>
    <w:rsid w:val="00281E4A"/>
    <w:rsid w:val="00282036"/>
    <w:rsid w:val="00294404"/>
    <w:rsid w:val="002B0928"/>
    <w:rsid w:val="002B6B18"/>
    <w:rsid w:val="00316ED2"/>
    <w:rsid w:val="00340809"/>
    <w:rsid w:val="003475D4"/>
    <w:rsid w:val="0037055D"/>
    <w:rsid w:val="003B015C"/>
    <w:rsid w:val="00420019"/>
    <w:rsid w:val="004327DD"/>
    <w:rsid w:val="00474D64"/>
    <w:rsid w:val="00480115"/>
    <w:rsid w:val="00480876"/>
    <w:rsid w:val="004822AF"/>
    <w:rsid w:val="0048375A"/>
    <w:rsid w:val="004C2A3C"/>
    <w:rsid w:val="00507224"/>
    <w:rsid w:val="00510747"/>
    <w:rsid w:val="00525A42"/>
    <w:rsid w:val="00535D6F"/>
    <w:rsid w:val="005A3E5D"/>
    <w:rsid w:val="005F2DA6"/>
    <w:rsid w:val="00631E1B"/>
    <w:rsid w:val="00636F32"/>
    <w:rsid w:val="006641A3"/>
    <w:rsid w:val="006936EC"/>
    <w:rsid w:val="00696F2E"/>
    <w:rsid w:val="00697B98"/>
    <w:rsid w:val="006C4013"/>
    <w:rsid w:val="006E3DCA"/>
    <w:rsid w:val="006F766E"/>
    <w:rsid w:val="00702849"/>
    <w:rsid w:val="00706CF2"/>
    <w:rsid w:val="00730C6C"/>
    <w:rsid w:val="00736CB3"/>
    <w:rsid w:val="007525B5"/>
    <w:rsid w:val="007B6685"/>
    <w:rsid w:val="007D4044"/>
    <w:rsid w:val="007F4454"/>
    <w:rsid w:val="00845BD1"/>
    <w:rsid w:val="00846B5F"/>
    <w:rsid w:val="00885FCC"/>
    <w:rsid w:val="008D2B6B"/>
    <w:rsid w:val="008F2051"/>
    <w:rsid w:val="00906D4D"/>
    <w:rsid w:val="00951A4D"/>
    <w:rsid w:val="00975EFB"/>
    <w:rsid w:val="009E281D"/>
    <w:rsid w:val="009E55DB"/>
    <w:rsid w:val="009F0175"/>
    <w:rsid w:val="009F2018"/>
    <w:rsid w:val="00AC2EC3"/>
    <w:rsid w:val="00AD5C74"/>
    <w:rsid w:val="00AD7ADF"/>
    <w:rsid w:val="00AF04E6"/>
    <w:rsid w:val="00B007B6"/>
    <w:rsid w:val="00B66D85"/>
    <w:rsid w:val="00BA14E5"/>
    <w:rsid w:val="00BC1420"/>
    <w:rsid w:val="00BC679C"/>
    <w:rsid w:val="00BC6E77"/>
    <w:rsid w:val="00BD512A"/>
    <w:rsid w:val="00BE5420"/>
    <w:rsid w:val="00BF18CA"/>
    <w:rsid w:val="00C1153A"/>
    <w:rsid w:val="00C178C2"/>
    <w:rsid w:val="00C658D4"/>
    <w:rsid w:val="00CD2F08"/>
    <w:rsid w:val="00CF68B2"/>
    <w:rsid w:val="00D776AE"/>
    <w:rsid w:val="00D82736"/>
    <w:rsid w:val="00D97C76"/>
    <w:rsid w:val="00DA376F"/>
    <w:rsid w:val="00DA4B1B"/>
    <w:rsid w:val="00E03A46"/>
    <w:rsid w:val="00E077E2"/>
    <w:rsid w:val="00E13353"/>
    <w:rsid w:val="00E3290D"/>
    <w:rsid w:val="00EE70DD"/>
    <w:rsid w:val="00EF4938"/>
    <w:rsid w:val="00F7792D"/>
    <w:rsid w:val="00F82ABB"/>
    <w:rsid w:val="00FA721F"/>
    <w:rsid w:val="00FF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A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5F2DA6"/>
    <w:rPr>
      <w:rFonts w:ascii="Times Armenian" w:hAnsi="Times Armeni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F2DA6"/>
    <w:pPr>
      <w:jc w:val="both"/>
    </w:pPr>
    <w:rPr>
      <w:rFonts w:eastAsia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F2DA6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30C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4404"/>
    <w:rPr>
      <w:b/>
      <w:bCs/>
    </w:rPr>
  </w:style>
  <w:style w:type="paragraph" w:styleId="NormalWeb">
    <w:name w:val="Normal (Web)"/>
    <w:basedOn w:val="Normal"/>
    <w:uiPriority w:val="99"/>
    <w:unhideWhenUsed/>
    <w:rsid w:val="0029440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294404"/>
  </w:style>
  <w:style w:type="character" w:customStyle="1" w:styleId="FontStyle27">
    <w:name w:val="Font Style27"/>
    <w:basedOn w:val="DefaultParagraphFont"/>
    <w:uiPriority w:val="99"/>
    <w:rsid w:val="007B6685"/>
    <w:rPr>
      <w:rFonts w:ascii="Sylfaen" w:hAnsi="Sylfaen" w:cs="Sylfaen"/>
      <w:sz w:val="24"/>
      <w:szCs w:val="24"/>
    </w:rPr>
  </w:style>
  <w:style w:type="paragraph" w:customStyle="1" w:styleId="Style7">
    <w:name w:val="Style7"/>
    <w:basedOn w:val="Normal"/>
    <w:uiPriority w:val="99"/>
    <w:rsid w:val="007B6685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Sylfaen" w:eastAsiaTheme="minorEastAsia" w:hAnsi="Sylfaen" w:cstheme="minorBidi"/>
      <w:lang w:val="ru-RU" w:eastAsia="ru-RU"/>
    </w:rPr>
  </w:style>
  <w:style w:type="paragraph" w:customStyle="1" w:styleId="Style8">
    <w:name w:val="Style8"/>
    <w:basedOn w:val="Normal"/>
    <w:uiPriority w:val="99"/>
    <w:rsid w:val="007B6685"/>
    <w:pPr>
      <w:widowControl w:val="0"/>
      <w:autoSpaceDE w:val="0"/>
      <w:autoSpaceDN w:val="0"/>
      <w:adjustRightInd w:val="0"/>
      <w:spacing w:line="452" w:lineRule="exact"/>
      <w:ind w:firstLine="670"/>
      <w:jc w:val="both"/>
    </w:pPr>
    <w:rPr>
      <w:rFonts w:ascii="Sylfaen" w:eastAsiaTheme="minorEastAsia" w:hAnsi="Sylfaen" w:cstheme="minorBidi"/>
      <w:lang w:val="ru-RU" w:eastAsia="ru-RU"/>
    </w:rPr>
  </w:style>
  <w:style w:type="paragraph" w:customStyle="1" w:styleId="Style11">
    <w:name w:val="Style11"/>
    <w:basedOn w:val="Normal"/>
    <w:uiPriority w:val="99"/>
    <w:rsid w:val="007B6685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ru-RU" w:eastAsia="ru-RU"/>
    </w:rPr>
  </w:style>
  <w:style w:type="paragraph" w:customStyle="1" w:styleId="Style14">
    <w:name w:val="Style14"/>
    <w:basedOn w:val="Normal"/>
    <w:uiPriority w:val="99"/>
    <w:rsid w:val="007B6685"/>
    <w:pPr>
      <w:widowControl w:val="0"/>
      <w:autoSpaceDE w:val="0"/>
      <w:autoSpaceDN w:val="0"/>
      <w:adjustRightInd w:val="0"/>
      <w:spacing w:line="400" w:lineRule="exact"/>
      <w:jc w:val="both"/>
    </w:pPr>
    <w:rPr>
      <w:rFonts w:ascii="Sylfaen" w:eastAsiaTheme="minorEastAsia" w:hAnsi="Sylfaen" w:cstheme="minorBidi"/>
      <w:lang w:val="ru-RU" w:eastAsia="ru-RU"/>
    </w:rPr>
  </w:style>
  <w:style w:type="paragraph" w:customStyle="1" w:styleId="Style16">
    <w:name w:val="Style16"/>
    <w:basedOn w:val="Normal"/>
    <w:uiPriority w:val="99"/>
    <w:rsid w:val="007B6685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Sylfaen" w:eastAsiaTheme="minorEastAsia" w:hAnsi="Sylfaen" w:cstheme="minorBidi"/>
      <w:lang w:val="ru-RU" w:eastAsia="ru-RU"/>
    </w:rPr>
  </w:style>
  <w:style w:type="paragraph" w:customStyle="1" w:styleId="Style17">
    <w:name w:val="Style17"/>
    <w:basedOn w:val="Normal"/>
    <w:uiPriority w:val="99"/>
    <w:rsid w:val="007B6685"/>
    <w:pPr>
      <w:widowControl w:val="0"/>
      <w:autoSpaceDE w:val="0"/>
      <w:autoSpaceDN w:val="0"/>
      <w:adjustRightInd w:val="0"/>
      <w:spacing w:line="396" w:lineRule="exact"/>
      <w:ind w:hanging="338"/>
    </w:pPr>
    <w:rPr>
      <w:rFonts w:ascii="Sylfaen" w:eastAsiaTheme="minorEastAsia" w:hAnsi="Sylfaen" w:cstheme="minorBidi"/>
      <w:lang w:val="ru-RU" w:eastAsia="ru-RU"/>
    </w:rPr>
  </w:style>
  <w:style w:type="character" w:customStyle="1" w:styleId="FontStyle22">
    <w:name w:val="Font Style22"/>
    <w:basedOn w:val="DefaultParagraphFont"/>
    <w:uiPriority w:val="99"/>
    <w:rsid w:val="007B6685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7B6685"/>
    <w:rPr>
      <w:rFonts w:ascii="Sylfaen" w:hAnsi="Sylfaen" w:cs="Sylfaen"/>
      <w:b/>
      <w:bCs/>
      <w:sz w:val="16"/>
      <w:szCs w:val="16"/>
    </w:rPr>
  </w:style>
  <w:style w:type="character" w:customStyle="1" w:styleId="FontStyle29">
    <w:name w:val="Font Style29"/>
    <w:basedOn w:val="DefaultParagraphFont"/>
    <w:uiPriority w:val="99"/>
    <w:rsid w:val="007B6685"/>
    <w:rPr>
      <w:rFonts w:ascii="Sylfaen" w:hAnsi="Sylfaen" w:cs="Sylfaen"/>
      <w:sz w:val="26"/>
      <w:szCs w:val="26"/>
    </w:rPr>
  </w:style>
  <w:style w:type="paragraph" w:customStyle="1" w:styleId="Style9">
    <w:name w:val="Style9"/>
    <w:basedOn w:val="Normal"/>
    <w:uiPriority w:val="99"/>
    <w:rsid w:val="00696F2E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Sylfaen" w:eastAsiaTheme="minorEastAsia" w:hAnsi="Sylfaen" w:cstheme="minorBidi"/>
    </w:rPr>
  </w:style>
  <w:style w:type="character" w:customStyle="1" w:styleId="FontStyle16">
    <w:name w:val="Font Style16"/>
    <w:basedOn w:val="DefaultParagraphFont"/>
    <w:uiPriority w:val="99"/>
    <w:rsid w:val="00696F2E"/>
    <w:rPr>
      <w:rFonts w:ascii="Sylfaen" w:hAnsi="Sylfaen" w:cs="Sylfaen"/>
      <w:b/>
      <w:bCs/>
      <w:sz w:val="26"/>
      <w:szCs w:val="26"/>
    </w:rPr>
  </w:style>
  <w:style w:type="character" w:customStyle="1" w:styleId="FontStyle19">
    <w:name w:val="Font Style19"/>
    <w:basedOn w:val="DefaultParagraphFont"/>
    <w:uiPriority w:val="99"/>
    <w:rsid w:val="00696F2E"/>
    <w:rPr>
      <w:rFonts w:ascii="Sylfaen" w:hAnsi="Sylfaen" w:cs="Sylfae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696F2E"/>
    <w:pPr>
      <w:widowControl w:val="0"/>
      <w:autoSpaceDE w:val="0"/>
      <w:autoSpaceDN w:val="0"/>
      <w:adjustRightInd w:val="0"/>
    </w:pPr>
    <w:rPr>
      <w:rFonts w:ascii="Sylfaen" w:eastAsiaTheme="minorEastAsia" w:hAnsi="Sylfaen" w:cstheme="minorBidi"/>
    </w:rPr>
  </w:style>
  <w:style w:type="character" w:customStyle="1" w:styleId="FontStyle20">
    <w:name w:val="Font Style20"/>
    <w:basedOn w:val="DefaultParagraphFont"/>
    <w:uiPriority w:val="99"/>
    <w:rsid w:val="00696F2E"/>
    <w:rPr>
      <w:rFonts w:ascii="Sylfaen" w:hAnsi="Sylfaen" w:cs="Sylfaen"/>
      <w:b/>
      <w:bCs/>
      <w:sz w:val="18"/>
      <w:szCs w:val="18"/>
    </w:rPr>
  </w:style>
  <w:style w:type="character" w:customStyle="1" w:styleId="FontStyle26">
    <w:name w:val="Font Style26"/>
    <w:basedOn w:val="DefaultParagraphFont"/>
    <w:uiPriority w:val="99"/>
    <w:rsid w:val="00696F2E"/>
    <w:rPr>
      <w:rFonts w:ascii="Sylfaen" w:hAnsi="Sylfaen" w:cs="Sylfaen"/>
      <w:b/>
      <w:bCs/>
      <w:i/>
      <w:iCs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78AF-D4D6-4DE2-82A9-64961A5E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Tsovinar Soghomonyan</cp:lastModifiedBy>
  <cp:revision>6</cp:revision>
  <cp:lastPrinted>2014-01-24T06:25:00Z</cp:lastPrinted>
  <dcterms:created xsi:type="dcterms:W3CDTF">2014-01-23T13:28:00Z</dcterms:created>
  <dcterms:modified xsi:type="dcterms:W3CDTF">2014-01-24T11:21:00Z</dcterms:modified>
</cp:coreProperties>
</file>