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</w:t>
      </w:r>
      <w:r w:rsidR="00E07A28">
        <w:rPr>
          <w:rFonts w:ascii="GHEA Grapalat" w:hAnsi="GHEA Grapalat"/>
          <w:b/>
          <w:sz w:val="24"/>
          <w:szCs w:val="24"/>
          <w:lang w:val="hy-AM"/>
        </w:rPr>
        <w:t>ՌԻԲԵԿ</w:t>
      </w:r>
      <w:r w:rsidRPr="007D60FE">
        <w:rPr>
          <w:rFonts w:ascii="GHEA Grapalat" w:hAnsi="GHEA Grapalat"/>
          <w:b/>
          <w:sz w:val="24"/>
          <w:szCs w:val="24"/>
          <w:lang w:val="hy-AM"/>
        </w:rPr>
        <w:t>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ՌԻԲԵԿ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9C7315" w:rsidRPr="009C7315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ՌԻԲԵԿ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հումքը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ՌԻԲԵԿ</w:t>
      </w: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AE0D71" w:rsidRDefault="001430B2" w:rsidP="00AE0D71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</w:t>
      </w:r>
    </w:p>
    <w:p w:rsidR="001430B2" w:rsidRPr="00AE0D71" w:rsidRDefault="00AE0D71" w:rsidP="00AE0D71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երմուծված (ներմուծվող) հումքի ցանկը և դրա</w:t>
      </w:r>
      <w:r w:rsidR="001430B2"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տեխնիկական բնութագիր` </w:t>
      </w:r>
      <w:r w:rsidR="00C35F02"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 w:rsidRP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հումքը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E53DBA" w:rsidRDefault="00E53DBA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Հանրապետության կառավարության 2014 թվականի մարտի 27-ի թիվ  442-Ն որոշմամբ հաստատված 2014-2025 թվականների հեռանկարային զարգացման ռազմավարական ծրագրի 168-րդ կետով արդյունաբերությունը հանդիսա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նում է գերակա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ոլորտ: «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ՌԻԲԵԿ</w:t>
      </w:r>
      <w:r w:rsidRPr="00E53D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ՍՊԸ գործում է թեթև արդյունաբերության բնագավառում, որն արդյունաբերության ենթաոլորտ է: </w:t>
      </w:r>
    </w:p>
    <w:p w:rsidR="009C7315" w:rsidRPr="00163C70" w:rsidRDefault="009C7315" w:rsidP="00C247F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ՌԻԲԵԿ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սահմանափակ պատասխանատվությամբ ընկերության կողմից ներմուծվող ապրանքներն օգտագործվելու են </w:t>
      </w:r>
      <w:r w:rsidR="00E07A28" w:rsidRP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երեխաների և կանացի ներքնազգեստի և հագուստի 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արտադրության մեջ</w:t>
      </w:r>
      <w:r w:rsidR="006F282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</w:t>
      </w:r>
      <w:r w:rsidR="00E07A28" w:rsidRP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Չարենցավան</w:t>
      </w:r>
      <w:r w:rsidR="00CF5D9A" w:rsidRPr="00CF5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9C731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61237" w:rsidRPr="00E81E9F" w:rsidRDefault="00E07A28" w:rsidP="00E07A2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Արդեն իսկ իրականացվել է 70 000 000 ՀՀ դրամի ներդրում սարքավորումների ձեռքբերման մեջ։ </w:t>
      </w:r>
      <w:r w:rsidR="00414CA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 ծրագրի շրջանակ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իրականացնել 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480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000 000 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հումքի</w:t>
      </w:r>
      <w:bookmarkStart w:id="0" w:name="_GoBack"/>
      <w:bookmarkEnd w:id="0"/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նյութերի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սարքավորումների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ձեռքբերման մեջ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 Նախատեսվում է ներդրում</w:t>
      </w:r>
      <w:r w:rsid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CD7CB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ին ծրագրի շրջանակում ստեղծել 50 նոր ա</w:t>
      </w:r>
      <w:r w:rsidR="00CA4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շխատատեղ՝ 100 000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A4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FC294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A4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CA41A7" w:rsidRPr="00CA41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</w:t>
      </w:r>
      <w:r w:rsidR="00866300" w:rsidRPr="0086630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աշխատավարձով։</w:t>
      </w:r>
    </w:p>
    <w:p w:rsid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163C7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A4A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                  </w:t>
      </w:r>
      <w:r w:rsidR="00DC50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720 000 000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</w:t>
      </w:r>
      <w:r w:rsidR="005D443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որից 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130 000 000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 կիրացվի ՀՀ տարածքում, 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440 000 000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դրամի արտադրանքը՝ ԵԱՏՄ այլ անդամ երկրների տարածքում, 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150 000 000 </w:t>
      </w:r>
      <w:r w:rsidR="000622E1" w:rsidRP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արտադրանքը՝ երրորդ երկրների տարածքում։</w:t>
      </w:r>
    </w:p>
    <w:p w:rsidR="000609BF" w:rsidRPr="0070043E" w:rsidRDefault="000609BF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Արտոնություն ստանալու համար ներկայացված ապրանքների արժեքը կազմում է       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234 250 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000 ՀՀ դրամ։ Մ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աքսատուրքի ազատման արտոնությունը կազմում է 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17 720 </w:t>
      </w:r>
      <w:r w:rsidR="00AE0D7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500 ՀՀ դրամ</w:t>
      </w:r>
      <w:r w:rsidRPr="000609B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FC2947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E07A2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ՌԻԲԵԿ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  <w:r w:rsidR="000622E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0F" w:rsidRDefault="0021110F">
      <w:pPr>
        <w:spacing w:after="0" w:line="240" w:lineRule="auto"/>
      </w:pPr>
      <w:r>
        <w:separator/>
      </w:r>
    </w:p>
  </w:endnote>
  <w:endnote w:type="continuationSeparator" w:id="0">
    <w:p w:rsidR="0021110F" w:rsidRDefault="0021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21110F">
    <w:pPr>
      <w:pStyle w:val="Footer"/>
    </w:pPr>
  </w:p>
  <w:p w:rsidR="001918A3" w:rsidRDefault="002111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0F" w:rsidRDefault="0021110F">
      <w:pPr>
        <w:spacing w:after="0" w:line="240" w:lineRule="auto"/>
      </w:pPr>
      <w:r>
        <w:separator/>
      </w:r>
    </w:p>
  </w:footnote>
  <w:footnote w:type="continuationSeparator" w:id="0">
    <w:p w:rsidR="0021110F" w:rsidRDefault="0021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196D"/>
    <w:rsid w:val="00032AA3"/>
    <w:rsid w:val="000358EF"/>
    <w:rsid w:val="000407AE"/>
    <w:rsid w:val="00041AC7"/>
    <w:rsid w:val="00041AFD"/>
    <w:rsid w:val="000426BE"/>
    <w:rsid w:val="00043713"/>
    <w:rsid w:val="000609BF"/>
    <w:rsid w:val="000622E1"/>
    <w:rsid w:val="00070820"/>
    <w:rsid w:val="00084EEB"/>
    <w:rsid w:val="00092204"/>
    <w:rsid w:val="000956B7"/>
    <w:rsid w:val="000964FA"/>
    <w:rsid w:val="0009653B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07036"/>
    <w:rsid w:val="001237A2"/>
    <w:rsid w:val="00130D88"/>
    <w:rsid w:val="00136228"/>
    <w:rsid w:val="00136719"/>
    <w:rsid w:val="001423DB"/>
    <w:rsid w:val="001430B2"/>
    <w:rsid w:val="001435E3"/>
    <w:rsid w:val="00145D73"/>
    <w:rsid w:val="0015090E"/>
    <w:rsid w:val="00150F49"/>
    <w:rsid w:val="001548CA"/>
    <w:rsid w:val="001556B2"/>
    <w:rsid w:val="00160974"/>
    <w:rsid w:val="00163C70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97E56"/>
    <w:rsid w:val="001A2AE7"/>
    <w:rsid w:val="001A583E"/>
    <w:rsid w:val="001B4C02"/>
    <w:rsid w:val="001B78A9"/>
    <w:rsid w:val="001E42FA"/>
    <w:rsid w:val="001F291E"/>
    <w:rsid w:val="001F436E"/>
    <w:rsid w:val="001F4C27"/>
    <w:rsid w:val="00204083"/>
    <w:rsid w:val="0020669D"/>
    <w:rsid w:val="0021110F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6224A"/>
    <w:rsid w:val="00270048"/>
    <w:rsid w:val="002760B2"/>
    <w:rsid w:val="002774C9"/>
    <w:rsid w:val="002809B8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15883"/>
    <w:rsid w:val="00323D60"/>
    <w:rsid w:val="0032774D"/>
    <w:rsid w:val="00327C81"/>
    <w:rsid w:val="003337EB"/>
    <w:rsid w:val="003422CA"/>
    <w:rsid w:val="00345303"/>
    <w:rsid w:val="00354597"/>
    <w:rsid w:val="00355924"/>
    <w:rsid w:val="00361749"/>
    <w:rsid w:val="0036585E"/>
    <w:rsid w:val="0037352D"/>
    <w:rsid w:val="00376544"/>
    <w:rsid w:val="00381560"/>
    <w:rsid w:val="003817D0"/>
    <w:rsid w:val="0038217D"/>
    <w:rsid w:val="00385858"/>
    <w:rsid w:val="003905F3"/>
    <w:rsid w:val="00391357"/>
    <w:rsid w:val="003A75A0"/>
    <w:rsid w:val="003C0E4A"/>
    <w:rsid w:val="003C19ED"/>
    <w:rsid w:val="003C6C35"/>
    <w:rsid w:val="003C79A7"/>
    <w:rsid w:val="003D661E"/>
    <w:rsid w:val="003D7751"/>
    <w:rsid w:val="003D79ED"/>
    <w:rsid w:val="003E3E73"/>
    <w:rsid w:val="003F1AF4"/>
    <w:rsid w:val="003F1D86"/>
    <w:rsid w:val="003F5187"/>
    <w:rsid w:val="00400BED"/>
    <w:rsid w:val="004107C1"/>
    <w:rsid w:val="004136E2"/>
    <w:rsid w:val="00414CA4"/>
    <w:rsid w:val="00420D9E"/>
    <w:rsid w:val="00425CEC"/>
    <w:rsid w:val="00430C2D"/>
    <w:rsid w:val="00455EDA"/>
    <w:rsid w:val="00461531"/>
    <w:rsid w:val="00463647"/>
    <w:rsid w:val="004641A6"/>
    <w:rsid w:val="00465D67"/>
    <w:rsid w:val="0047649A"/>
    <w:rsid w:val="00481EEB"/>
    <w:rsid w:val="00494949"/>
    <w:rsid w:val="00495C7F"/>
    <w:rsid w:val="004B18F6"/>
    <w:rsid w:val="004C2F79"/>
    <w:rsid w:val="004C64BC"/>
    <w:rsid w:val="004D0B48"/>
    <w:rsid w:val="004D731A"/>
    <w:rsid w:val="004F1DAC"/>
    <w:rsid w:val="004F42F1"/>
    <w:rsid w:val="004F75B5"/>
    <w:rsid w:val="005062AA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551E1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0E88"/>
    <w:rsid w:val="0059240A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4439"/>
    <w:rsid w:val="005D57CF"/>
    <w:rsid w:val="005F1C83"/>
    <w:rsid w:val="00600228"/>
    <w:rsid w:val="00600351"/>
    <w:rsid w:val="00611D22"/>
    <w:rsid w:val="006136A0"/>
    <w:rsid w:val="00625985"/>
    <w:rsid w:val="00633332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2C6F"/>
    <w:rsid w:val="006A3107"/>
    <w:rsid w:val="006A7578"/>
    <w:rsid w:val="006B428B"/>
    <w:rsid w:val="006C00BD"/>
    <w:rsid w:val="006C13CC"/>
    <w:rsid w:val="006C592E"/>
    <w:rsid w:val="006D08D5"/>
    <w:rsid w:val="006D1C43"/>
    <w:rsid w:val="006D3E61"/>
    <w:rsid w:val="006E06B3"/>
    <w:rsid w:val="006E786C"/>
    <w:rsid w:val="006F2825"/>
    <w:rsid w:val="006F2C5C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31031"/>
    <w:rsid w:val="00741759"/>
    <w:rsid w:val="00744EA5"/>
    <w:rsid w:val="00754FF2"/>
    <w:rsid w:val="00762D64"/>
    <w:rsid w:val="00765101"/>
    <w:rsid w:val="0079009F"/>
    <w:rsid w:val="00791AF7"/>
    <w:rsid w:val="007950C5"/>
    <w:rsid w:val="007966D6"/>
    <w:rsid w:val="00796CE4"/>
    <w:rsid w:val="007A6815"/>
    <w:rsid w:val="007B3CB4"/>
    <w:rsid w:val="007C324E"/>
    <w:rsid w:val="007D60FE"/>
    <w:rsid w:val="007E4E35"/>
    <w:rsid w:val="007E5300"/>
    <w:rsid w:val="007F5E34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453D"/>
    <w:rsid w:val="00855330"/>
    <w:rsid w:val="00857492"/>
    <w:rsid w:val="00862F36"/>
    <w:rsid w:val="00863CE6"/>
    <w:rsid w:val="00866300"/>
    <w:rsid w:val="00872104"/>
    <w:rsid w:val="00875B45"/>
    <w:rsid w:val="0088150B"/>
    <w:rsid w:val="00881EAC"/>
    <w:rsid w:val="008824D8"/>
    <w:rsid w:val="00884C43"/>
    <w:rsid w:val="00886025"/>
    <w:rsid w:val="008958C8"/>
    <w:rsid w:val="00895F75"/>
    <w:rsid w:val="008A77BF"/>
    <w:rsid w:val="008B0C96"/>
    <w:rsid w:val="008B2448"/>
    <w:rsid w:val="008C116F"/>
    <w:rsid w:val="008C1656"/>
    <w:rsid w:val="008C5BF3"/>
    <w:rsid w:val="008C757A"/>
    <w:rsid w:val="008E2DE7"/>
    <w:rsid w:val="008E5CA7"/>
    <w:rsid w:val="0091377F"/>
    <w:rsid w:val="0091620A"/>
    <w:rsid w:val="00922ED1"/>
    <w:rsid w:val="00927A21"/>
    <w:rsid w:val="00937999"/>
    <w:rsid w:val="00943634"/>
    <w:rsid w:val="009446FF"/>
    <w:rsid w:val="00964C12"/>
    <w:rsid w:val="0096655D"/>
    <w:rsid w:val="009667EE"/>
    <w:rsid w:val="0097004D"/>
    <w:rsid w:val="009703CE"/>
    <w:rsid w:val="009814D2"/>
    <w:rsid w:val="00987F88"/>
    <w:rsid w:val="00992788"/>
    <w:rsid w:val="009A3D8E"/>
    <w:rsid w:val="009A4A04"/>
    <w:rsid w:val="009B02D4"/>
    <w:rsid w:val="009B2026"/>
    <w:rsid w:val="009C0CD8"/>
    <w:rsid w:val="009C7315"/>
    <w:rsid w:val="009E1B12"/>
    <w:rsid w:val="009E45CA"/>
    <w:rsid w:val="009E7A4B"/>
    <w:rsid w:val="009F41EE"/>
    <w:rsid w:val="009F59EE"/>
    <w:rsid w:val="00A124C3"/>
    <w:rsid w:val="00A162A0"/>
    <w:rsid w:val="00A334D0"/>
    <w:rsid w:val="00A3455C"/>
    <w:rsid w:val="00A45215"/>
    <w:rsid w:val="00A47083"/>
    <w:rsid w:val="00A53531"/>
    <w:rsid w:val="00A75280"/>
    <w:rsid w:val="00A75782"/>
    <w:rsid w:val="00A76627"/>
    <w:rsid w:val="00A84730"/>
    <w:rsid w:val="00A87BF9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0D71"/>
    <w:rsid w:val="00AE1A96"/>
    <w:rsid w:val="00B00084"/>
    <w:rsid w:val="00B01F30"/>
    <w:rsid w:val="00B05111"/>
    <w:rsid w:val="00B070EF"/>
    <w:rsid w:val="00B12BA1"/>
    <w:rsid w:val="00B15936"/>
    <w:rsid w:val="00B17709"/>
    <w:rsid w:val="00B373D8"/>
    <w:rsid w:val="00B37847"/>
    <w:rsid w:val="00B4130E"/>
    <w:rsid w:val="00B416D2"/>
    <w:rsid w:val="00B43CE9"/>
    <w:rsid w:val="00B64D57"/>
    <w:rsid w:val="00B65644"/>
    <w:rsid w:val="00B65FA1"/>
    <w:rsid w:val="00B667B4"/>
    <w:rsid w:val="00B81917"/>
    <w:rsid w:val="00B81DE1"/>
    <w:rsid w:val="00B903FF"/>
    <w:rsid w:val="00B95DE4"/>
    <w:rsid w:val="00BA0A73"/>
    <w:rsid w:val="00BA6AFB"/>
    <w:rsid w:val="00BA791A"/>
    <w:rsid w:val="00BB626D"/>
    <w:rsid w:val="00BC1FD6"/>
    <w:rsid w:val="00BC254F"/>
    <w:rsid w:val="00BC6CAF"/>
    <w:rsid w:val="00BD1F9A"/>
    <w:rsid w:val="00BD729F"/>
    <w:rsid w:val="00BE4BFF"/>
    <w:rsid w:val="00BE6844"/>
    <w:rsid w:val="00BE7D89"/>
    <w:rsid w:val="00BF1624"/>
    <w:rsid w:val="00BF6F99"/>
    <w:rsid w:val="00BF790A"/>
    <w:rsid w:val="00C22A1D"/>
    <w:rsid w:val="00C247F9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A36A5"/>
    <w:rsid w:val="00CA3CB9"/>
    <w:rsid w:val="00CA41A7"/>
    <w:rsid w:val="00CB32CA"/>
    <w:rsid w:val="00CC4F11"/>
    <w:rsid w:val="00CC757B"/>
    <w:rsid w:val="00CD7CB9"/>
    <w:rsid w:val="00CE2A92"/>
    <w:rsid w:val="00CE6E35"/>
    <w:rsid w:val="00CE7BB3"/>
    <w:rsid w:val="00CF0CEE"/>
    <w:rsid w:val="00CF255D"/>
    <w:rsid w:val="00CF2A20"/>
    <w:rsid w:val="00CF5D9A"/>
    <w:rsid w:val="00CF66B5"/>
    <w:rsid w:val="00D00B33"/>
    <w:rsid w:val="00D01AF2"/>
    <w:rsid w:val="00D049B1"/>
    <w:rsid w:val="00D26B36"/>
    <w:rsid w:val="00D334DD"/>
    <w:rsid w:val="00D36B74"/>
    <w:rsid w:val="00D43DA4"/>
    <w:rsid w:val="00D44778"/>
    <w:rsid w:val="00D44ED0"/>
    <w:rsid w:val="00D45958"/>
    <w:rsid w:val="00D459E5"/>
    <w:rsid w:val="00D54EFF"/>
    <w:rsid w:val="00D57C23"/>
    <w:rsid w:val="00D62414"/>
    <w:rsid w:val="00D67F82"/>
    <w:rsid w:val="00D73E2A"/>
    <w:rsid w:val="00D751EF"/>
    <w:rsid w:val="00D76111"/>
    <w:rsid w:val="00D77884"/>
    <w:rsid w:val="00D8077D"/>
    <w:rsid w:val="00D81A9C"/>
    <w:rsid w:val="00D83143"/>
    <w:rsid w:val="00D84844"/>
    <w:rsid w:val="00D87520"/>
    <w:rsid w:val="00D87677"/>
    <w:rsid w:val="00D95504"/>
    <w:rsid w:val="00DA0FA4"/>
    <w:rsid w:val="00DA26E2"/>
    <w:rsid w:val="00DA5E8E"/>
    <w:rsid w:val="00DA65CF"/>
    <w:rsid w:val="00DB0BDF"/>
    <w:rsid w:val="00DB4BD4"/>
    <w:rsid w:val="00DC2D2A"/>
    <w:rsid w:val="00DC5083"/>
    <w:rsid w:val="00DC7B25"/>
    <w:rsid w:val="00DD019F"/>
    <w:rsid w:val="00DD0FEE"/>
    <w:rsid w:val="00DD121A"/>
    <w:rsid w:val="00DD27F3"/>
    <w:rsid w:val="00DE3B19"/>
    <w:rsid w:val="00DE485D"/>
    <w:rsid w:val="00DF1A25"/>
    <w:rsid w:val="00E02344"/>
    <w:rsid w:val="00E02C9F"/>
    <w:rsid w:val="00E031D4"/>
    <w:rsid w:val="00E07A28"/>
    <w:rsid w:val="00E11791"/>
    <w:rsid w:val="00E12D38"/>
    <w:rsid w:val="00E14400"/>
    <w:rsid w:val="00E15E07"/>
    <w:rsid w:val="00E2025F"/>
    <w:rsid w:val="00E21A93"/>
    <w:rsid w:val="00E453D5"/>
    <w:rsid w:val="00E53DBA"/>
    <w:rsid w:val="00E54218"/>
    <w:rsid w:val="00E60987"/>
    <w:rsid w:val="00E6539C"/>
    <w:rsid w:val="00E661F1"/>
    <w:rsid w:val="00E671E7"/>
    <w:rsid w:val="00E77D0E"/>
    <w:rsid w:val="00E81A94"/>
    <w:rsid w:val="00E81E9F"/>
    <w:rsid w:val="00E874A6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65F65"/>
    <w:rsid w:val="00F71D4B"/>
    <w:rsid w:val="00F73AF6"/>
    <w:rsid w:val="00F777A6"/>
    <w:rsid w:val="00F77E11"/>
    <w:rsid w:val="00F80BE6"/>
    <w:rsid w:val="00F85F84"/>
    <w:rsid w:val="00F879BA"/>
    <w:rsid w:val="00F9577F"/>
    <w:rsid w:val="00F96201"/>
    <w:rsid w:val="00FA2E03"/>
    <w:rsid w:val="00FB2A7E"/>
    <w:rsid w:val="00FB32A2"/>
    <w:rsid w:val="00FC2947"/>
    <w:rsid w:val="00FC388B"/>
    <w:rsid w:val="00FD274E"/>
    <w:rsid w:val="00FD7F0D"/>
    <w:rsid w:val="00FE237C"/>
    <w:rsid w:val="00FE2BA6"/>
    <w:rsid w:val="00FE2CE3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https://mul2.gov.am/tasks/35198/oneclick/Ezrakacutyun.docx?token=732228a7d77b8df4cb32c83d9173c8fb</cp:keywords>
</cp:coreProperties>
</file>