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1D" w:rsidRDefault="005A251D" w:rsidP="005A251D">
      <w:pPr>
        <w:jc w:val="center"/>
        <w:rPr>
          <w:b/>
          <w:sz w:val="28"/>
          <w:lang w:val="hy-AM"/>
        </w:rPr>
      </w:pPr>
      <w:r w:rsidRPr="00886F92">
        <w:rPr>
          <w:b/>
          <w:sz w:val="28"/>
          <w:lang w:val="hy-AM"/>
        </w:rPr>
        <w:t>Հաշվարկ-</w:t>
      </w:r>
      <w:r w:rsidR="00D034F8">
        <w:rPr>
          <w:b/>
          <w:sz w:val="28"/>
          <w:lang w:val="hy-AM"/>
        </w:rPr>
        <w:t>կանխատեսում</w:t>
      </w:r>
    </w:p>
    <w:p w:rsidR="00D034F8" w:rsidRPr="00D034F8" w:rsidRDefault="00D034F8" w:rsidP="005A251D">
      <w:pPr>
        <w:jc w:val="center"/>
        <w:rPr>
          <w:b/>
          <w:szCs w:val="24"/>
          <w:lang w:val="hy-AM"/>
        </w:rPr>
      </w:pPr>
      <w:r w:rsidRPr="00D034F8">
        <w:rPr>
          <w:b/>
          <w:szCs w:val="24"/>
          <w:lang w:val="hy-AM"/>
        </w:rPr>
        <w:t>Ուսանողական վարկերի սուբսիդավորման գումարների վերաբերյալ</w:t>
      </w:r>
    </w:p>
    <w:p w:rsidR="005A251D" w:rsidRDefault="005A251D" w:rsidP="005A251D">
      <w:pPr>
        <w:rPr>
          <w:lang w:val="hy-AM"/>
        </w:rPr>
      </w:pPr>
    </w:p>
    <w:p w:rsidR="005A251D" w:rsidRDefault="005A251D" w:rsidP="005A251D">
      <w:pPr>
        <w:ind w:firstLine="360"/>
        <w:jc w:val="both"/>
        <w:rPr>
          <w:lang w:val="hy-AM"/>
        </w:rPr>
      </w:pPr>
      <w:r>
        <w:rPr>
          <w:lang w:val="hy-AM"/>
        </w:rPr>
        <w:t>Ուսանողական վարկերի ծրագրում նախատեսվող փոփոխությունների դեպքում հնարավոր սուբսդիավորման գումարների կանխատեսման նպատակով իրականցվել է հաշվար</w:t>
      </w:r>
      <w:r w:rsidR="00EC647A">
        <w:rPr>
          <w:lang w:val="hy-AM"/>
        </w:rPr>
        <w:t>կ-</w:t>
      </w:r>
      <w:r>
        <w:rPr>
          <w:lang w:val="hy-AM"/>
        </w:rPr>
        <w:t xml:space="preserve"> հիմնավորում, որտեղ, մասնավորապես, դիտարկվել է սուբսիդավորման հնարավոր մեծությունը հետևյալ սցենարի դեպքում՝</w:t>
      </w:r>
    </w:p>
    <w:p w:rsidR="005A251D" w:rsidRDefault="005A251D" w:rsidP="005A251D">
      <w:pPr>
        <w:pStyle w:val="ListParagraph"/>
        <w:numPr>
          <w:ilvl w:val="0"/>
          <w:numId w:val="1"/>
        </w:numPr>
        <w:jc w:val="both"/>
        <w:rPr>
          <w:lang w:val="hy-AM"/>
        </w:rPr>
      </w:pPr>
      <w:r w:rsidRPr="00886F92">
        <w:rPr>
          <w:lang w:val="hy-AM"/>
        </w:rPr>
        <w:t xml:space="preserve">2019 </w:t>
      </w:r>
      <w:r>
        <w:rPr>
          <w:lang w:val="hy-AM"/>
        </w:rPr>
        <w:t>թվականի համար ուսանողական վարկերի քանակը վերցվել է 2018 թվականի փաստացի տրամադրված վարկերից 20</w:t>
      </w:r>
      <w:r w:rsidRPr="00886F92">
        <w:rPr>
          <w:lang w:val="hy-AM"/>
        </w:rPr>
        <w:t>%</w:t>
      </w:r>
      <w:r>
        <w:rPr>
          <w:lang w:val="hy-AM"/>
        </w:rPr>
        <w:t xml:space="preserve"> աճով </w:t>
      </w:r>
      <w:r w:rsidRPr="00886F92">
        <w:rPr>
          <w:lang w:val="hy-AM"/>
        </w:rPr>
        <w:t>(</w:t>
      </w:r>
      <w:r>
        <w:rPr>
          <w:lang w:val="hy-AM"/>
        </w:rPr>
        <w:t>ընդհանուր՝ 2750 հատ, իսկ 2018 թ. եղել է 2270</w:t>
      </w:r>
      <w:r w:rsidRPr="00886F92">
        <w:rPr>
          <w:lang w:val="hy-AM"/>
        </w:rPr>
        <w:t>)</w:t>
      </w:r>
      <w:r>
        <w:rPr>
          <w:lang w:val="hy-AM"/>
        </w:rPr>
        <w:t xml:space="preserve">, իսկ հաջորդող յուրաքանչյուր տարիների համար՝ յուրաքանչյուր նախորդ տարվա նկատմամբ </w:t>
      </w:r>
      <w:r w:rsidR="00591690" w:rsidRPr="00591690">
        <w:rPr>
          <w:lang w:val="hy-AM"/>
        </w:rPr>
        <w:t>10</w:t>
      </w:r>
      <w:r w:rsidRPr="00886F92">
        <w:rPr>
          <w:lang w:val="hy-AM"/>
        </w:rPr>
        <w:t xml:space="preserve">% </w:t>
      </w:r>
      <w:r>
        <w:rPr>
          <w:lang w:val="hy-AM"/>
        </w:rPr>
        <w:t>աճով</w:t>
      </w:r>
      <w:r w:rsidRPr="00886F92">
        <w:rPr>
          <w:lang w:val="hy-AM"/>
        </w:rPr>
        <w:t xml:space="preserve"> (</w:t>
      </w:r>
      <w:r>
        <w:rPr>
          <w:lang w:val="hy-AM"/>
        </w:rPr>
        <w:t xml:space="preserve">օրինակ՝ 2020թ. համար </w:t>
      </w:r>
      <w:r w:rsidR="00591690">
        <w:rPr>
          <w:lang w:val="hy-AM"/>
        </w:rPr>
        <w:t>3</w:t>
      </w:r>
      <w:r>
        <w:rPr>
          <w:lang w:val="hy-AM"/>
        </w:rPr>
        <w:t>,</w:t>
      </w:r>
      <w:r w:rsidR="00591690" w:rsidRPr="003A0742">
        <w:rPr>
          <w:lang w:val="hy-AM"/>
        </w:rPr>
        <w:t>025</w:t>
      </w:r>
      <w:r>
        <w:rPr>
          <w:lang w:val="hy-AM"/>
        </w:rPr>
        <w:t>, 2021 թ. համար 3,</w:t>
      </w:r>
      <w:r w:rsidR="003A0742" w:rsidRPr="003A0742">
        <w:rPr>
          <w:lang w:val="hy-AM"/>
        </w:rPr>
        <w:t>328</w:t>
      </w:r>
      <w:r>
        <w:rPr>
          <w:lang w:val="hy-AM"/>
        </w:rPr>
        <w:t xml:space="preserve"> և այլն</w:t>
      </w:r>
      <w:r w:rsidRPr="00886F92">
        <w:rPr>
          <w:lang w:val="hy-AM"/>
        </w:rPr>
        <w:t>)</w:t>
      </w:r>
      <w:r w:rsidRPr="00347CF5">
        <w:rPr>
          <w:lang w:val="hy-AM"/>
        </w:rPr>
        <w:t>,</w:t>
      </w:r>
      <w:r>
        <w:rPr>
          <w:lang w:val="hy-AM"/>
        </w:rPr>
        <w:t xml:space="preserve"> </w:t>
      </w:r>
    </w:p>
    <w:p w:rsidR="005A251D" w:rsidRDefault="005A251D" w:rsidP="005A251D">
      <w:pPr>
        <w:pStyle w:val="ListParagraph"/>
        <w:numPr>
          <w:ilvl w:val="0"/>
          <w:numId w:val="1"/>
        </w:numPr>
        <w:jc w:val="both"/>
        <w:rPr>
          <w:lang w:val="hy-AM"/>
        </w:rPr>
      </w:pPr>
      <w:r>
        <w:rPr>
          <w:lang w:val="hy-AM"/>
        </w:rPr>
        <w:t>Գերազանցիկների քանակը վերցվել է ընդհանուր պորտֆելի 15</w:t>
      </w:r>
      <w:r w:rsidRPr="00886F92">
        <w:rPr>
          <w:lang w:val="hy-AM"/>
        </w:rPr>
        <w:t>%-</w:t>
      </w:r>
      <w:r>
        <w:rPr>
          <w:lang w:val="hy-AM"/>
        </w:rPr>
        <w:t>ը, որոնց համար դիտարկվել է 3</w:t>
      </w:r>
      <w:r w:rsidRPr="00886F92">
        <w:rPr>
          <w:lang w:val="hy-AM"/>
        </w:rPr>
        <w:t>%</w:t>
      </w:r>
      <w:r>
        <w:rPr>
          <w:lang w:val="hy-AM"/>
        </w:rPr>
        <w:t xml:space="preserve">-ային կետով սուբսիդավորումը, </w:t>
      </w:r>
      <w:r w:rsidRPr="00886F92">
        <w:rPr>
          <w:lang w:val="hy-AM"/>
        </w:rPr>
        <w:t>(</w:t>
      </w:r>
      <w:r>
        <w:rPr>
          <w:lang w:val="hy-AM"/>
        </w:rPr>
        <w:t>օրինակ, 2019 թվականի համար՝ 2750*15</w:t>
      </w:r>
      <w:r w:rsidRPr="00886F92">
        <w:rPr>
          <w:lang w:val="hy-AM"/>
        </w:rPr>
        <w:t xml:space="preserve">%=413), </w:t>
      </w:r>
      <w:r>
        <w:rPr>
          <w:lang w:val="hy-AM"/>
        </w:rPr>
        <w:t>իսկ հաջորդող յուրաքանչյուր տարիների համար՝ յուրաքանչյուր նախորդ տարվա նկատմամբ 10</w:t>
      </w:r>
      <w:r w:rsidRPr="00886F92">
        <w:rPr>
          <w:lang w:val="hy-AM"/>
        </w:rPr>
        <w:t xml:space="preserve">% </w:t>
      </w:r>
      <w:r>
        <w:rPr>
          <w:lang w:val="hy-AM"/>
        </w:rPr>
        <w:t>աճով</w:t>
      </w:r>
      <w:r w:rsidRPr="00886F92">
        <w:rPr>
          <w:lang w:val="hy-AM"/>
        </w:rPr>
        <w:t xml:space="preserve"> (</w:t>
      </w:r>
      <w:r>
        <w:rPr>
          <w:lang w:val="hy-AM"/>
        </w:rPr>
        <w:t xml:space="preserve">օրինակ՝ 2020թ. համար՝ </w:t>
      </w:r>
      <w:r w:rsidRPr="00886F92">
        <w:rPr>
          <w:lang w:val="hy-AM"/>
        </w:rPr>
        <w:t>4</w:t>
      </w:r>
      <w:r w:rsidR="00D15D3A" w:rsidRPr="00D15D3A">
        <w:rPr>
          <w:lang w:val="hy-AM"/>
        </w:rPr>
        <w:t>5</w:t>
      </w:r>
      <w:r w:rsidRPr="00886F92">
        <w:rPr>
          <w:lang w:val="hy-AM"/>
        </w:rPr>
        <w:t>4</w:t>
      </w:r>
      <w:r>
        <w:rPr>
          <w:lang w:val="hy-AM"/>
        </w:rPr>
        <w:t xml:space="preserve">, 2021 թ. համար՝ </w:t>
      </w:r>
      <w:r w:rsidR="00D15D3A" w:rsidRPr="00D15D3A">
        <w:rPr>
          <w:lang w:val="hy-AM"/>
        </w:rPr>
        <w:t>500</w:t>
      </w:r>
      <w:r>
        <w:rPr>
          <w:lang w:val="hy-AM"/>
        </w:rPr>
        <w:t xml:space="preserve"> և այլն</w:t>
      </w:r>
      <w:r w:rsidRPr="00886F92">
        <w:rPr>
          <w:lang w:val="hy-AM"/>
        </w:rPr>
        <w:t>)</w:t>
      </w:r>
      <w:r w:rsidRPr="00347CF5">
        <w:rPr>
          <w:lang w:val="hy-AM"/>
        </w:rPr>
        <w:t>,</w:t>
      </w:r>
      <w:r>
        <w:rPr>
          <w:lang w:val="hy-AM"/>
        </w:rPr>
        <w:t xml:space="preserve"> </w:t>
      </w:r>
    </w:p>
    <w:p w:rsidR="005A251D" w:rsidRDefault="005A251D" w:rsidP="005A251D">
      <w:pPr>
        <w:pStyle w:val="ListParagraph"/>
        <w:numPr>
          <w:ilvl w:val="0"/>
          <w:numId w:val="1"/>
        </w:numPr>
        <w:jc w:val="both"/>
        <w:rPr>
          <w:lang w:val="hy-AM"/>
        </w:rPr>
      </w:pPr>
      <w:r>
        <w:rPr>
          <w:lang w:val="hy-AM"/>
        </w:rPr>
        <w:t xml:space="preserve">Վարկի գումարը հաշվարկներում բոլոր վարկերի համար վերցվել է </w:t>
      </w:r>
      <w:r w:rsidR="00203E28" w:rsidRPr="00203E28">
        <w:rPr>
          <w:lang w:val="hy-AM"/>
        </w:rPr>
        <w:t>616</w:t>
      </w:r>
      <w:r>
        <w:rPr>
          <w:lang w:val="hy-AM"/>
        </w:rPr>
        <w:t>,</w:t>
      </w:r>
      <w:r w:rsidR="00EA379E" w:rsidRPr="00EA379E">
        <w:rPr>
          <w:lang w:val="hy-AM"/>
        </w:rPr>
        <w:t>3</w:t>
      </w:r>
      <w:r>
        <w:rPr>
          <w:lang w:val="hy-AM"/>
        </w:rPr>
        <w:t>00</w:t>
      </w:r>
      <w:r w:rsidRPr="005A251D">
        <w:rPr>
          <w:lang w:val="hy-AM"/>
        </w:rPr>
        <w:t xml:space="preserve"> (</w:t>
      </w:r>
      <w:r w:rsidR="00203E28">
        <w:rPr>
          <w:lang w:val="hy-AM"/>
        </w:rPr>
        <w:t>ՀՀ պետական բյուջեով նախատեսված՝ միջին ուսման վարձի մեծություն</w:t>
      </w:r>
      <w:r w:rsidRPr="005A251D">
        <w:rPr>
          <w:lang w:val="hy-AM"/>
        </w:rPr>
        <w:t>)</w:t>
      </w:r>
      <w:r>
        <w:rPr>
          <w:lang w:val="hy-AM"/>
        </w:rPr>
        <w:t xml:space="preserve"> դրամը, որը 4-րդ տարվա վերջին կազմում է 2 մլն</w:t>
      </w:r>
      <w:r w:rsidR="00203E28">
        <w:rPr>
          <w:lang w:val="hy-AM"/>
        </w:rPr>
        <w:t>, 46</w:t>
      </w:r>
      <w:r w:rsidR="00EA379E" w:rsidRPr="00EA379E">
        <w:rPr>
          <w:lang w:val="hy-AM"/>
        </w:rPr>
        <w:t>5,2</w:t>
      </w:r>
      <w:bookmarkStart w:id="0" w:name="_GoBack"/>
      <w:bookmarkEnd w:id="0"/>
      <w:r w:rsidR="00203E28">
        <w:rPr>
          <w:lang w:val="hy-AM"/>
        </w:rPr>
        <w:t xml:space="preserve"> հազ</w:t>
      </w:r>
      <w:r w:rsidR="00203E28" w:rsidRPr="00203E28">
        <w:rPr>
          <w:lang w:val="hy-AM"/>
        </w:rPr>
        <w:t>:</w:t>
      </w:r>
      <w:r>
        <w:rPr>
          <w:lang w:val="hy-AM"/>
        </w:rPr>
        <w:t xml:space="preserve"> ՀՀ դրամ</w:t>
      </w:r>
      <w:r w:rsidRPr="00347CF5">
        <w:rPr>
          <w:lang w:val="hy-AM"/>
        </w:rPr>
        <w:t>:</w:t>
      </w:r>
    </w:p>
    <w:p w:rsidR="005A251D" w:rsidRDefault="005A251D" w:rsidP="005A251D">
      <w:pPr>
        <w:ind w:firstLine="360"/>
        <w:jc w:val="both"/>
        <w:rPr>
          <w:lang w:val="hy-AM"/>
        </w:rPr>
      </w:pPr>
      <w:r>
        <w:rPr>
          <w:lang w:val="hy-AM"/>
        </w:rPr>
        <w:t>Արդյունքում, 9</w:t>
      </w:r>
      <w:r w:rsidRPr="00347CF5">
        <w:rPr>
          <w:lang w:val="hy-AM"/>
        </w:rPr>
        <w:t xml:space="preserve">% </w:t>
      </w:r>
      <w:r>
        <w:rPr>
          <w:lang w:val="hy-AM"/>
        </w:rPr>
        <w:t xml:space="preserve">տարեկան տոկոսադրույքով, </w:t>
      </w:r>
      <w:r w:rsidR="002416B4">
        <w:rPr>
          <w:lang w:val="hy-AM"/>
        </w:rPr>
        <w:t>616,</w:t>
      </w:r>
      <w:r w:rsidR="002416B4" w:rsidRPr="002416B4">
        <w:rPr>
          <w:lang w:val="hy-AM"/>
        </w:rPr>
        <w:t>3</w:t>
      </w:r>
      <w:r w:rsidR="00203E28" w:rsidRPr="00203E28">
        <w:rPr>
          <w:lang w:val="hy-AM"/>
        </w:rPr>
        <w:t>00</w:t>
      </w:r>
      <w:r w:rsidRPr="005A251D">
        <w:rPr>
          <w:lang w:val="hy-AM"/>
        </w:rPr>
        <w:t xml:space="preserve"> </w:t>
      </w:r>
      <w:r>
        <w:rPr>
          <w:lang w:val="hy-AM"/>
        </w:rPr>
        <w:t xml:space="preserve">ՀՀ դրամ </w:t>
      </w:r>
      <w:r w:rsidRPr="005A251D">
        <w:rPr>
          <w:lang w:val="hy-AM"/>
        </w:rPr>
        <w:t>(</w:t>
      </w:r>
      <w:r>
        <w:rPr>
          <w:lang w:val="hy-AM"/>
        </w:rPr>
        <w:t xml:space="preserve">գումարային 2 մլն </w:t>
      </w:r>
      <w:r w:rsidR="002416B4">
        <w:rPr>
          <w:lang w:val="hy-AM"/>
        </w:rPr>
        <w:t>465,2</w:t>
      </w:r>
      <w:r w:rsidR="00203E28" w:rsidRPr="00203E28">
        <w:rPr>
          <w:lang w:val="hy-AM"/>
        </w:rPr>
        <w:t xml:space="preserve"> </w:t>
      </w:r>
      <w:r w:rsidR="00203E28">
        <w:rPr>
          <w:lang w:val="hy-AM"/>
        </w:rPr>
        <w:t xml:space="preserve">հազ ՀՀ դրամ </w:t>
      </w:r>
      <w:r>
        <w:rPr>
          <w:lang w:val="hy-AM"/>
        </w:rPr>
        <w:t>4 տարվա կտրվածքով</w:t>
      </w:r>
      <w:r w:rsidRPr="005A251D">
        <w:rPr>
          <w:lang w:val="hy-AM"/>
        </w:rPr>
        <w:t>)</w:t>
      </w:r>
      <w:r>
        <w:rPr>
          <w:lang w:val="hy-AM"/>
        </w:rPr>
        <w:t xml:space="preserve"> վարկի գումարով  և 10 տարի մարման ժամկետով</w:t>
      </w:r>
      <w:r w:rsidRPr="00347CF5">
        <w:rPr>
          <w:lang w:val="hy-AM"/>
        </w:rPr>
        <w:t xml:space="preserve"> (</w:t>
      </w:r>
      <w:r>
        <w:rPr>
          <w:lang w:val="hy-AM"/>
        </w:rPr>
        <w:t>որից առաջին 4 տարիների համար վճարվում են միայն տոկոսագումարները, իսկ հետո հավասարաչափ մարումներով կատարվում վճարումները</w:t>
      </w:r>
      <w:r w:rsidRPr="00347CF5">
        <w:rPr>
          <w:lang w:val="hy-AM"/>
        </w:rPr>
        <w:t xml:space="preserve">) </w:t>
      </w:r>
      <w:r>
        <w:rPr>
          <w:lang w:val="hy-AM"/>
        </w:rPr>
        <w:t xml:space="preserve"> և կանխատեսված վարկերի քանակային մեծության պարագայում ստացվել են հետևյալ գնահատականները, որոնք համեմատվել են «Բնակարան երիտասարդներին» ՎՎԿ կողմից ՀՀ ֆինանսների նախարարությանը տրամադրված՝ 2019-2021 թթ. սուբսիդավորման գումարների հնարավոր կանխատեսւմների հետ՝</w:t>
      </w:r>
    </w:p>
    <w:p w:rsidR="005A251D" w:rsidRDefault="005A251D" w:rsidP="005A251D">
      <w:pPr>
        <w:ind w:firstLine="360"/>
        <w:jc w:val="both"/>
        <w:rPr>
          <w:lang w:val="hy-AM"/>
        </w:rPr>
      </w:pPr>
    </w:p>
    <w:p w:rsidR="000235C4" w:rsidRDefault="000235C4" w:rsidP="005A251D">
      <w:pPr>
        <w:ind w:firstLine="360"/>
        <w:jc w:val="both"/>
        <w:rPr>
          <w:lang w:val="hy-AM"/>
        </w:rPr>
      </w:pPr>
    </w:p>
    <w:p w:rsidR="000235C4" w:rsidRDefault="000235C4" w:rsidP="005A251D">
      <w:pPr>
        <w:ind w:firstLine="360"/>
        <w:jc w:val="both"/>
        <w:rPr>
          <w:lang w:val="hy-AM"/>
        </w:rPr>
      </w:pPr>
    </w:p>
    <w:p w:rsidR="005A251D" w:rsidRDefault="005A251D" w:rsidP="005A251D">
      <w:pPr>
        <w:ind w:firstLine="360"/>
        <w:jc w:val="both"/>
        <w:rPr>
          <w:lang w:val="hy-AM"/>
        </w:rPr>
      </w:pPr>
    </w:p>
    <w:tbl>
      <w:tblPr>
        <w:tblStyle w:val="TableGrid"/>
        <w:tblW w:w="9918" w:type="dxa"/>
        <w:tblLook w:val="04A0"/>
      </w:tblPr>
      <w:tblGrid>
        <w:gridCol w:w="2239"/>
        <w:gridCol w:w="2441"/>
        <w:gridCol w:w="2337"/>
        <w:gridCol w:w="2901"/>
      </w:tblGrid>
      <w:tr w:rsidR="005A251D" w:rsidTr="00AC7D4A">
        <w:tc>
          <w:tcPr>
            <w:tcW w:w="2239" w:type="dxa"/>
          </w:tcPr>
          <w:p w:rsidR="005A251D" w:rsidRPr="00C14E07" w:rsidRDefault="005A251D" w:rsidP="00AC7D4A">
            <w:pPr>
              <w:jc w:val="center"/>
              <w:rPr>
                <w:b/>
                <w:sz w:val="22"/>
                <w:lang w:val="hy-AM"/>
              </w:rPr>
            </w:pPr>
            <w:r>
              <w:rPr>
                <w:b/>
                <w:sz w:val="22"/>
                <w:lang w:val="hy-AM"/>
              </w:rPr>
              <w:lastRenderedPageBreak/>
              <w:t>Տարեթիվ</w:t>
            </w:r>
          </w:p>
        </w:tc>
        <w:tc>
          <w:tcPr>
            <w:tcW w:w="2441" w:type="dxa"/>
          </w:tcPr>
          <w:p w:rsidR="005A251D" w:rsidRDefault="005A251D" w:rsidP="00AC7D4A">
            <w:pPr>
              <w:jc w:val="both"/>
              <w:rPr>
                <w:lang w:val="hy-AM"/>
              </w:rPr>
            </w:pPr>
            <w:r w:rsidRPr="00C14E07">
              <w:rPr>
                <w:b/>
                <w:sz w:val="22"/>
                <w:lang w:val="hy-AM"/>
              </w:rPr>
              <w:t>Բոլոր վարկերի գծով տարեկան սուբսիդավորում</w:t>
            </w:r>
            <w:r>
              <w:rPr>
                <w:b/>
                <w:sz w:val="22"/>
                <w:lang w:val="hy-AM"/>
              </w:rPr>
              <w:t>՝ փոփոխություններից հետո</w:t>
            </w:r>
          </w:p>
        </w:tc>
        <w:tc>
          <w:tcPr>
            <w:tcW w:w="2337" w:type="dxa"/>
          </w:tcPr>
          <w:p w:rsidR="005A251D" w:rsidRPr="004F718B" w:rsidRDefault="005A251D" w:rsidP="00AC7D4A">
            <w:pPr>
              <w:jc w:val="both"/>
              <w:rPr>
                <w:b/>
                <w:sz w:val="22"/>
                <w:lang w:val="hy-AM"/>
              </w:rPr>
            </w:pPr>
            <w:r w:rsidRPr="004F718B">
              <w:rPr>
                <w:b/>
                <w:sz w:val="22"/>
                <w:lang w:val="hy-AM"/>
              </w:rPr>
              <w:t>«Բնակարան երիտասարդներին» ՎՎԿ կողմից ՀՀ ֆինանսների նախարարությանը տրամադրված ու փաստացի պլանավորված սուբսիդավորման գումարներ</w:t>
            </w:r>
          </w:p>
        </w:tc>
        <w:tc>
          <w:tcPr>
            <w:tcW w:w="2901" w:type="dxa"/>
          </w:tcPr>
          <w:p w:rsidR="005A251D" w:rsidRPr="004F718B" w:rsidRDefault="005A251D" w:rsidP="00AC7D4A">
            <w:pPr>
              <w:jc w:val="both"/>
              <w:rPr>
                <w:b/>
                <w:sz w:val="22"/>
                <w:lang w:val="hy-AM"/>
              </w:rPr>
            </w:pPr>
            <w:r w:rsidRPr="004F718B">
              <w:rPr>
                <w:b/>
                <w:sz w:val="22"/>
                <w:lang w:val="hy-AM"/>
              </w:rPr>
              <w:t>Տարբերություն/ հավելյալ սուբսիդավորման անհրաժեշտություն</w:t>
            </w:r>
          </w:p>
        </w:tc>
      </w:tr>
      <w:tr w:rsidR="002416B4" w:rsidTr="00AC7D4A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2019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44,077,776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39,100,000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4,977,776 </w:t>
            </w:r>
          </w:p>
        </w:tc>
      </w:tr>
      <w:tr w:rsidR="002416B4" w:rsidTr="00AC7D4A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2020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96,971,107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67,000,000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29,971,107 </w:t>
            </w:r>
          </w:p>
        </w:tc>
      </w:tr>
      <w:tr w:rsidR="002416B4" w:rsidTr="00AC7D4A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2021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160,002,327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96,000,000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64,002,327 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2022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234,670,079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2023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124,828,182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2024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137,311,001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2025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151,042,101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2026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166,146,311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2027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182,760,942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2416B4" w:rsidTr="007636F8">
        <w:tc>
          <w:tcPr>
            <w:tcW w:w="2239" w:type="dxa"/>
          </w:tcPr>
          <w:p w:rsidR="002416B4" w:rsidRDefault="002416B4" w:rsidP="002416B4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2028</w:t>
            </w:r>
          </w:p>
        </w:tc>
        <w:tc>
          <w:tcPr>
            <w:tcW w:w="2441" w:type="dxa"/>
            <w:vAlign w:val="bottom"/>
          </w:tcPr>
          <w:p w:rsidR="002416B4" w:rsidRDefault="002416B4" w:rsidP="002416B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201,037,036 </w:t>
            </w:r>
          </w:p>
        </w:tc>
        <w:tc>
          <w:tcPr>
            <w:tcW w:w="2337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901" w:type="dxa"/>
            <w:vAlign w:val="bottom"/>
          </w:tcPr>
          <w:p w:rsidR="002416B4" w:rsidRDefault="002416B4" w:rsidP="002416B4">
            <w:pPr>
              <w:rPr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:rsidR="00AD13EF" w:rsidRDefault="00AD13EF"/>
    <w:sectPr w:rsidR="00AD13EF" w:rsidSect="0003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489"/>
    <w:multiLevelType w:val="hybridMultilevel"/>
    <w:tmpl w:val="937C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51D"/>
    <w:rsid w:val="000235C4"/>
    <w:rsid w:val="00032ED7"/>
    <w:rsid w:val="00203E28"/>
    <w:rsid w:val="002416B4"/>
    <w:rsid w:val="003A0742"/>
    <w:rsid w:val="00591690"/>
    <w:rsid w:val="005A251D"/>
    <w:rsid w:val="005A2A91"/>
    <w:rsid w:val="005A56DE"/>
    <w:rsid w:val="00A23FD6"/>
    <w:rsid w:val="00AD13EF"/>
    <w:rsid w:val="00AF319D"/>
    <w:rsid w:val="00B95AE9"/>
    <w:rsid w:val="00CB3E5B"/>
    <w:rsid w:val="00D034F8"/>
    <w:rsid w:val="00D15D3A"/>
    <w:rsid w:val="00EA379E"/>
    <w:rsid w:val="00EC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1D"/>
  </w:style>
  <w:style w:type="paragraph" w:styleId="Heading1">
    <w:name w:val="heading 1"/>
    <w:basedOn w:val="Normal"/>
    <w:next w:val="Normal"/>
    <w:link w:val="Heading1Char"/>
    <w:uiPriority w:val="9"/>
    <w:qFormat/>
    <w:rsid w:val="005A2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A2A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51D"/>
    <w:pPr>
      <w:ind w:left="720"/>
      <w:contextualSpacing/>
    </w:pPr>
  </w:style>
  <w:style w:type="table" w:styleId="TableGrid">
    <w:name w:val="Table Grid"/>
    <w:basedOn w:val="TableNormal"/>
    <w:uiPriority w:val="39"/>
    <w:rsid w:val="005A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