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90D" w:rsidRDefault="0036590D" w:rsidP="0036590D">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cs="Sylfaen"/>
          <w:b w:val="0"/>
          <w:color w:val="000000"/>
          <w:u w:val="single"/>
        </w:rPr>
      </w:pPr>
      <w:bookmarkStart w:id="0" w:name="_GoBack"/>
      <w:bookmarkEnd w:id="0"/>
      <w:r w:rsidRPr="00FA1354">
        <w:rPr>
          <w:rStyle w:val="Strong"/>
          <w:rFonts w:ascii="GHEA Grapalat" w:hAnsi="GHEA Grapalat" w:cs="Sylfaen"/>
          <w:b w:val="0"/>
          <w:color w:val="000000"/>
          <w:u w:val="single"/>
        </w:rPr>
        <w:t>ՆԱԽԱԳԻԾ</w:t>
      </w:r>
    </w:p>
    <w:p w:rsidR="00742732" w:rsidRPr="00FA1354" w:rsidRDefault="00742732" w:rsidP="0036590D">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cs="Sylfaen"/>
          <w:b w:val="0"/>
          <w:color w:val="000000"/>
          <w:u w:val="single"/>
        </w:rPr>
      </w:pP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Style w:val="Strong"/>
          <w:rFonts w:ascii="GHEA Grapalat" w:hAnsi="GHEA Grapalat" w:cs="Sylfaen"/>
          <w:color w:val="000000"/>
        </w:rPr>
      </w:pP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Fonts w:ascii="GHEA Grapalat" w:hAnsi="GHEA Grapalat"/>
          <w:color w:val="000000"/>
        </w:rPr>
      </w:pPr>
      <w:r w:rsidRPr="00FA1354">
        <w:rPr>
          <w:rStyle w:val="Strong"/>
          <w:rFonts w:ascii="GHEA Grapalat" w:hAnsi="GHEA Grapalat" w:cs="Sylfaen"/>
          <w:color w:val="000000"/>
        </w:rPr>
        <w:t>ՀԱՅԱՍՏԱՆԻՀԱՆՐԱՊԵՏՈՒԹՅԱՆԿԱՌԱՎԱՐՈՒԹՅՈՒՆ</w:t>
      </w: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Fonts w:ascii="GHEA Grapalat" w:hAnsi="GHEA Grapalat" w:cs="Sylfaen"/>
          <w:b/>
          <w:bCs/>
          <w:color w:val="000000"/>
        </w:rPr>
      </w:pPr>
      <w:r w:rsidRPr="00FA1354">
        <w:rPr>
          <w:rFonts w:ascii="GHEA Grapalat" w:hAnsi="GHEA Grapalat" w:cs="Sylfaen"/>
          <w:b/>
          <w:bCs/>
          <w:color w:val="000000"/>
        </w:rPr>
        <w:t>ՈՐՈՇՈՒՄ</w:t>
      </w: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Fonts w:ascii="GHEA Grapalat" w:hAnsi="GHEA Grapalat"/>
          <w:color w:val="000000"/>
        </w:rPr>
      </w:pP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Fonts w:ascii="GHEA Grapalat" w:hAnsi="GHEA Grapalat"/>
          <w:color w:val="000000"/>
        </w:rPr>
      </w:pPr>
      <w:r w:rsidRPr="00FA1354">
        <w:rPr>
          <w:rFonts w:ascii="GHEA Grapalat" w:hAnsi="GHEA Grapalat"/>
          <w:color w:val="000000"/>
        </w:rPr>
        <w:t>«__» «______» 2019</w:t>
      </w:r>
      <w:r w:rsidRPr="00FA1354">
        <w:rPr>
          <w:rFonts w:ascii="GHEA Grapalat" w:hAnsi="GHEA Grapalat"/>
          <w:color w:val="000000"/>
          <w:lang w:val="en-US"/>
        </w:rPr>
        <w:t xml:space="preserve"> </w:t>
      </w:r>
      <w:proofErr w:type="spellStart"/>
      <w:r w:rsidRPr="00FA1354">
        <w:rPr>
          <w:rFonts w:ascii="GHEA Grapalat" w:hAnsi="GHEA Grapalat" w:cs="Sylfaen"/>
          <w:color w:val="000000"/>
        </w:rPr>
        <w:t>թվականի</w:t>
      </w:r>
      <w:proofErr w:type="spellEnd"/>
      <w:r w:rsidRPr="00FA1354">
        <w:rPr>
          <w:rFonts w:ascii="GHEA Grapalat" w:hAnsi="GHEA Grapalat"/>
          <w:color w:val="000000"/>
        </w:rPr>
        <w:t xml:space="preserve"> N ___</w:t>
      </w:r>
      <w:r w:rsidRPr="00FA1354">
        <w:rPr>
          <w:rFonts w:ascii="GHEA Grapalat" w:hAnsi="GHEA Grapalat"/>
          <w:color w:val="000000"/>
          <w:lang w:val="en-US"/>
        </w:rPr>
        <w:t>-</w:t>
      </w:r>
      <w:r w:rsidRPr="00FA1354">
        <w:rPr>
          <w:rFonts w:ascii="GHEA Grapalat" w:hAnsi="GHEA Grapalat"/>
          <w:color w:val="000000"/>
        </w:rPr>
        <w:t>Ն</w:t>
      </w:r>
    </w:p>
    <w:p w:rsidR="0036590D" w:rsidRPr="00FA1354" w:rsidRDefault="0036590D" w:rsidP="0036590D">
      <w:pPr>
        <w:pStyle w:val="NormalWeb"/>
        <w:shd w:val="clear" w:color="auto" w:fill="FFFFFF"/>
        <w:tabs>
          <w:tab w:val="left" w:pos="993"/>
        </w:tabs>
        <w:spacing w:before="0" w:beforeAutospacing="0" w:after="0" w:afterAutospacing="0" w:line="276" w:lineRule="auto"/>
        <w:ind w:firstLine="567"/>
        <w:jc w:val="center"/>
        <w:rPr>
          <w:rStyle w:val="Strong"/>
          <w:rFonts w:ascii="GHEA Grapalat" w:hAnsi="GHEA Grapalat" w:cs="Sylfaen"/>
          <w:color w:val="000000"/>
        </w:rPr>
      </w:pPr>
    </w:p>
    <w:p w:rsidR="0036590D" w:rsidRPr="00FA1354" w:rsidRDefault="0036590D" w:rsidP="0036590D">
      <w:pPr>
        <w:pStyle w:val="mechtex"/>
        <w:spacing w:line="360" w:lineRule="auto"/>
        <w:rPr>
          <w:rStyle w:val="Strong"/>
          <w:rFonts w:ascii="GHEA Grapalat" w:hAnsi="GHEA Grapalat"/>
          <w:b w:val="0"/>
          <w:bCs w:val="0"/>
          <w:color w:val="000000"/>
          <w:sz w:val="32"/>
          <w:szCs w:val="24"/>
          <w:shd w:val="clear" w:color="auto" w:fill="FFFFFF"/>
          <w:lang w:val="fr-FR"/>
        </w:rPr>
      </w:pPr>
      <w:r w:rsidRPr="00FA1354">
        <w:rPr>
          <w:rFonts w:ascii="GHEA Grapalat" w:hAnsi="GHEA Grapalat" w:cs="Tahoma"/>
          <w:sz w:val="24"/>
          <w:lang w:val="en-US" w:eastAsia="en-US"/>
        </w:rPr>
        <w:t>ՀԱՅԱՍՏԱՆԻ</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ՀԱՆՐԱՊԵՈՒԹՅԱՆ</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ԿԱՌԱՎԱՐՈՒԹՅԱՆ</w:t>
      </w:r>
      <w:r w:rsidRPr="00FA1354">
        <w:rPr>
          <w:rFonts w:ascii="GHEA Grapalat" w:hAnsi="GHEA Grapalat" w:cs="Tahoma"/>
          <w:sz w:val="24"/>
          <w:lang w:val="ru-RU" w:eastAsia="en-US"/>
        </w:rPr>
        <w:t xml:space="preserve"> 2018 </w:t>
      </w:r>
      <w:r w:rsidRPr="00FA1354">
        <w:rPr>
          <w:rFonts w:ascii="GHEA Grapalat" w:hAnsi="GHEA Grapalat" w:cs="Tahoma"/>
          <w:sz w:val="24"/>
          <w:lang w:val="en-US" w:eastAsia="en-US"/>
        </w:rPr>
        <w:t>ԹՎԱԿԱՆԻ</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ՀՈՒՆԻՍԻ</w:t>
      </w:r>
      <w:r w:rsidRPr="00FA1354">
        <w:rPr>
          <w:rFonts w:ascii="GHEA Grapalat" w:hAnsi="GHEA Grapalat" w:cs="Tahoma"/>
          <w:sz w:val="24"/>
          <w:lang w:val="ru-RU" w:eastAsia="en-US"/>
        </w:rPr>
        <w:t xml:space="preserve"> 15-</w:t>
      </w:r>
      <w:r w:rsidRPr="00FA1354">
        <w:rPr>
          <w:rFonts w:ascii="GHEA Grapalat" w:hAnsi="GHEA Grapalat" w:cs="Tahoma"/>
          <w:sz w:val="24"/>
          <w:lang w:val="en-US" w:eastAsia="en-US"/>
        </w:rPr>
        <w:t>Ի</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N</w:t>
      </w:r>
      <w:r w:rsidRPr="00FA1354">
        <w:rPr>
          <w:rFonts w:ascii="GHEA Grapalat" w:hAnsi="GHEA Grapalat" w:cs="Tahoma"/>
          <w:sz w:val="24"/>
          <w:lang w:val="ru-RU" w:eastAsia="en-US"/>
        </w:rPr>
        <w:t xml:space="preserve"> 706-</w:t>
      </w:r>
      <w:r w:rsidRPr="00FA1354">
        <w:rPr>
          <w:rFonts w:ascii="GHEA Grapalat" w:hAnsi="GHEA Grapalat" w:cs="Tahoma"/>
          <w:sz w:val="24"/>
          <w:lang w:val="en-US" w:eastAsia="en-US"/>
        </w:rPr>
        <w:t>Ն</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ԵՎ</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ՀԱՅԱՍՏԱՆԻ</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ՀԱՆՐԱՊԵՏՈՒԹՅԱՆ</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ԿԱՌԱՎԱՐՈՒԹՅԱՆ</w:t>
      </w:r>
      <w:r w:rsidRPr="00FA1354">
        <w:rPr>
          <w:rFonts w:ascii="GHEA Grapalat" w:hAnsi="GHEA Grapalat" w:cs="Tahoma"/>
          <w:sz w:val="24"/>
          <w:lang w:val="ru-RU" w:eastAsia="en-US"/>
        </w:rPr>
        <w:t xml:space="preserve"> 2018 </w:t>
      </w:r>
      <w:r w:rsidRPr="00FA1354">
        <w:rPr>
          <w:rFonts w:ascii="GHEA Grapalat" w:hAnsi="GHEA Grapalat" w:cs="Tahoma"/>
          <w:sz w:val="24"/>
          <w:lang w:val="en-US" w:eastAsia="en-US"/>
        </w:rPr>
        <w:t>ԹՎԱԿԱՆԻԴԵԿՏԵՄԲԵՐԻ</w:t>
      </w:r>
      <w:r w:rsidRPr="00FA1354">
        <w:rPr>
          <w:rFonts w:ascii="GHEA Grapalat" w:hAnsi="GHEA Grapalat" w:cs="Tahoma"/>
          <w:sz w:val="24"/>
          <w:lang w:eastAsia="en-US"/>
        </w:rPr>
        <w:t xml:space="preserve"> </w:t>
      </w:r>
      <w:r w:rsidRPr="00FA1354">
        <w:rPr>
          <w:rFonts w:ascii="GHEA Grapalat" w:hAnsi="GHEA Grapalat" w:cs="Tahoma"/>
          <w:sz w:val="24"/>
          <w:lang w:val="ru-RU" w:eastAsia="en-US"/>
        </w:rPr>
        <w:t>27-</w:t>
      </w:r>
      <w:r w:rsidRPr="00FA1354">
        <w:rPr>
          <w:rFonts w:ascii="GHEA Grapalat" w:hAnsi="GHEA Grapalat" w:cs="Tahoma"/>
          <w:sz w:val="24"/>
          <w:lang w:val="en-US" w:eastAsia="en-US"/>
        </w:rPr>
        <w:t>Ի</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N</w:t>
      </w:r>
      <w:r w:rsidRPr="00FA1354">
        <w:rPr>
          <w:rFonts w:ascii="GHEA Grapalat" w:hAnsi="GHEA Grapalat" w:cs="Tahoma"/>
          <w:sz w:val="24"/>
          <w:lang w:val="ru-RU" w:eastAsia="en-US"/>
        </w:rPr>
        <w:t xml:space="preserve"> 1515-</w:t>
      </w:r>
      <w:r w:rsidRPr="00FA1354">
        <w:rPr>
          <w:rFonts w:ascii="GHEA Grapalat" w:hAnsi="GHEA Grapalat" w:cs="Tahoma"/>
          <w:sz w:val="24"/>
          <w:lang w:val="en-US" w:eastAsia="en-US"/>
        </w:rPr>
        <w:t>Ն</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ՈՐՈՇՄԱՆ</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ՄԵՋ</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ՓՈՓՈԽՈՒԹՅՈՒՆՆԵՐ</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ԵՎ</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ԼՐԱՑՈՒՄ</w:t>
      </w:r>
      <w:r w:rsidRPr="00FA1354">
        <w:rPr>
          <w:rFonts w:ascii="GHEA Grapalat" w:hAnsi="GHEA Grapalat" w:cs="Tahoma"/>
          <w:sz w:val="24"/>
          <w:lang w:val="ru-RU" w:eastAsia="en-US"/>
        </w:rPr>
        <w:t xml:space="preserve"> </w:t>
      </w:r>
      <w:r w:rsidRPr="00FA1354">
        <w:rPr>
          <w:rFonts w:ascii="GHEA Grapalat" w:hAnsi="GHEA Grapalat" w:cs="Tahoma"/>
          <w:sz w:val="24"/>
          <w:lang w:val="en-US" w:eastAsia="en-US"/>
        </w:rPr>
        <w:t>ԿԱՏԱՐԵԼՈՒ</w:t>
      </w:r>
      <w:r w:rsidRPr="00FA1354">
        <w:rPr>
          <w:rFonts w:ascii="GHEA Grapalat" w:hAnsi="GHEA Grapalat" w:cs="Tahoma"/>
          <w:sz w:val="24"/>
          <w:lang w:eastAsia="en-US"/>
        </w:rPr>
        <w:t xml:space="preserve"> </w:t>
      </w:r>
      <w:r w:rsidRPr="00FA1354">
        <w:rPr>
          <w:rFonts w:ascii="GHEA Grapalat" w:hAnsi="GHEA Grapalat" w:cs="Tahoma"/>
          <w:sz w:val="24"/>
          <w:lang w:val="en-US" w:eastAsia="en-US"/>
        </w:rPr>
        <w:t>ՄԱՍԻՆ</w:t>
      </w:r>
      <w:r w:rsidRPr="00FA1354" w:rsidDel="004A24AB">
        <w:rPr>
          <w:rFonts w:ascii="GHEA Grapalat" w:hAnsi="GHEA Grapalat" w:cs="Tahoma"/>
          <w:sz w:val="32"/>
          <w:szCs w:val="24"/>
          <w:lang w:val="hy-AM"/>
        </w:rPr>
        <w:t xml:space="preserve"> </w:t>
      </w:r>
    </w:p>
    <w:p w:rsidR="0036590D" w:rsidRPr="00FA1354" w:rsidRDefault="0036590D" w:rsidP="0036590D">
      <w:pPr>
        <w:spacing w:line="360" w:lineRule="auto"/>
        <w:ind w:firstLine="540"/>
        <w:jc w:val="both"/>
        <w:rPr>
          <w:rFonts w:ascii="GHEA Grapalat" w:hAnsi="GHEA Grapalat" w:cs="Tahoma"/>
          <w:b/>
          <w:lang w:val="hy-AM" w:eastAsia="ru-RU"/>
        </w:rPr>
      </w:pPr>
    </w:p>
    <w:p w:rsidR="0036590D" w:rsidRPr="00FA1354" w:rsidRDefault="0036590D" w:rsidP="0036590D">
      <w:pPr>
        <w:shd w:val="clear" w:color="auto" w:fill="FFFFFF"/>
        <w:spacing w:after="0" w:line="360" w:lineRule="auto"/>
        <w:ind w:firstLine="708"/>
        <w:jc w:val="both"/>
        <w:rPr>
          <w:rFonts w:ascii="GHEA Grapalat" w:hAnsi="GHEA Grapalat" w:cs="Tahoma"/>
          <w:sz w:val="24"/>
          <w:szCs w:val="24"/>
          <w:lang w:val="hy-AM" w:eastAsia="ru-RU"/>
        </w:rPr>
      </w:pPr>
      <w:r w:rsidRPr="00FA1354">
        <w:rPr>
          <w:rFonts w:ascii="GHEA Grapalat" w:hAnsi="GHEA Grapalat" w:cs="Tahoma"/>
          <w:sz w:val="24"/>
          <w:szCs w:val="24"/>
          <w:lang w:val="hy-AM" w:eastAsia="ru-RU"/>
        </w:rPr>
        <w:t xml:space="preserve">Հիմք ընդունելով </w:t>
      </w:r>
      <w:r w:rsidRPr="00FA1354">
        <w:rPr>
          <w:rFonts w:ascii="GHEA Grapalat" w:hAnsi="GHEA Grapalat" w:cs="Tahoma"/>
          <w:sz w:val="24"/>
          <w:szCs w:val="24"/>
          <w:lang w:val="hy-AM"/>
        </w:rPr>
        <w:t>«Նորմատիվ իրավական ակտերի մասին» օրենքի 33-րդ հոդվածը և 34-րդ հոդվածի 1-ին մասը,</w:t>
      </w:r>
      <w:r w:rsidRPr="00FA1354">
        <w:rPr>
          <w:rFonts w:ascii="GHEA Grapalat" w:hAnsi="GHEA Grapalat" w:cs="Sylfaen"/>
          <w:sz w:val="24"/>
          <w:szCs w:val="24"/>
          <w:lang w:val="hy-AM"/>
        </w:rPr>
        <w:t xml:space="preserve"> </w:t>
      </w:r>
      <w:r w:rsidRPr="00FA1354">
        <w:rPr>
          <w:rFonts w:ascii="GHEA Grapalat" w:hAnsi="GHEA Grapalat" w:cs="Tahoma"/>
          <w:sz w:val="24"/>
          <w:szCs w:val="24"/>
          <w:lang w:val="hy-AM"/>
        </w:rPr>
        <w:t>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 1515-Ն որոշման N 14 հավելվածի 3-րդ կետի 7-րդ ենթակետը՝ Հայաստանի Հանրապետության կառավարությունը ո ր ո շ ո ւ մ  է.</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t>1. Հայաստանի Հանրապետության կառավարության 2018 թվականի հունիսի 15-ի «Բյուջեների կատարման կարգը հաստատելու և Հայաստանի Հանրապետության կառավարության մի շարք որոշումներ ուժը կորցրած ճանաչելու մասին» N 706-Ն որոշման հավելվածի 14-րդ կետը լրացնել նոր ենթակետով հետևյալ խմբագրությամբ.</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t>«3) օտարերկրյա պետությունների և միջազգային կազմակերպությունների կողմից տրամադրված վարկային և դրամաշնորհային համաձայնագրերով նախատեսված միջոցների ծախսման ժամանակ, այդ գործընթացը կարգավորող փաստաթղթերով սահմանված դեպքերում ստորագրությունների իրավունքը պետական մարմնի կամ հիմնարկի ղեկավարը կարող է վերապահել տվյալ մարմնի կամ հիմնարկի հանրային ծառայող հանդիսացող անձանց:</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lastRenderedPageBreak/>
        <w:t xml:space="preserve">2. Հայաստանի Հանրապետության կառավարության 2018 թվականի դեկտեմբերի 27-ի «Հայաստանի Հանրապետության 2019 թվականի պետական բյուջեի կատարումն ապահովող միջոցառումների մասին» N 1515-Ն որոշման </w:t>
      </w:r>
      <w:r w:rsidRPr="00742732">
        <w:rPr>
          <w:rFonts w:ascii="GHEA Grapalat" w:hAnsi="GHEA Grapalat" w:cs="Tahoma"/>
          <w:sz w:val="24"/>
          <w:szCs w:val="24"/>
          <w:lang w:val="hy-AM"/>
        </w:rPr>
        <w:t xml:space="preserve">NN </w:t>
      </w:r>
      <w:r w:rsidR="007B565D" w:rsidRPr="00742732">
        <w:rPr>
          <w:rFonts w:ascii="GHEA Grapalat" w:hAnsi="GHEA Grapalat" w:cs="Tahoma"/>
          <w:sz w:val="24"/>
          <w:szCs w:val="24"/>
          <w:lang w:val="hy-AM"/>
        </w:rPr>
        <w:t xml:space="preserve">3, </w:t>
      </w:r>
      <w:r w:rsidRPr="00742732">
        <w:rPr>
          <w:rFonts w:ascii="GHEA Grapalat" w:hAnsi="GHEA Grapalat" w:cs="Tahoma"/>
          <w:sz w:val="24"/>
          <w:szCs w:val="24"/>
          <w:lang w:val="hy-AM"/>
        </w:rPr>
        <w:t>4 և 5</w:t>
      </w:r>
      <w:r w:rsidRPr="00FA1354">
        <w:rPr>
          <w:rFonts w:ascii="GHEA Grapalat" w:hAnsi="GHEA Grapalat" w:cs="Tahoma"/>
          <w:sz w:val="24"/>
          <w:szCs w:val="24"/>
          <w:lang w:val="hy-AM"/>
        </w:rPr>
        <w:t xml:space="preserve"> հավելվածներում կատարել փոփոխություններ` համաձայն NN1, 2 և 3 հավելվածների:</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t>3. Սահմանել, որ`</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t xml:space="preserve">1) օտարերկրյա պետությունների և միջազգային կազմակերպությունների կողմից տրամադրված վարկային և դրամաշնորհային ծրագրեր իրականացնող </w:t>
      </w:r>
      <w:bookmarkStart w:id="1" w:name="_Hlk2594147"/>
      <w:r w:rsidRPr="00FA1354">
        <w:rPr>
          <w:rFonts w:ascii="GHEA Grapalat" w:hAnsi="GHEA Grapalat" w:cs="Tahoma"/>
          <w:sz w:val="24"/>
          <w:szCs w:val="24"/>
          <w:lang w:val="hy-AM"/>
        </w:rPr>
        <w:t>պետական հիմնարկի գործունեության դադարեցման օրվա դրությամբ չավարտված ծրագրերի իրականացման</w:t>
      </w:r>
      <w:bookmarkEnd w:id="1"/>
      <w:r w:rsidRPr="00FA1354">
        <w:rPr>
          <w:rFonts w:ascii="GHEA Grapalat" w:hAnsi="GHEA Grapalat" w:cs="Tahoma"/>
          <w:sz w:val="24"/>
          <w:szCs w:val="24"/>
          <w:lang w:val="hy-AM"/>
        </w:rPr>
        <w:t xml:space="preserve"> գործընթացում աշխատանքային պայմանագրերով ներգրավված և հիմնարկի գործունեության դադարեցմամբ պայմանավորված պետական կառավարման մարմնի կառուցվածքում ընդգրկված ստորաբաժանումում հանրային ծառայության պաշտոն զբաղեցրած կամ ծրագրերի իրականացման աշխատանքներում, առանց մրցակցային ընթացակարգերի կիրառման, մինչև տվյալ ծրագրի ավարտը գործողության ժամկետով կնքված պայմանագրերով որպես անհատ խորհրդատուներ ներգրավված անձանց ամսական վարձատրության չափը` մինչև պայմանագրի գործողության ավարտը, հավասար է հիմնարկի գործունեության դադարեցմանը նախորդող տարվա ընթացքում հիմնարկից ստացած միջին ամսական վարձատրության (աշխատավարձ և դրան հավասարեցված վճարներ) չափին (հանրային ծառայողների մասով վարձատրության նշված չափը ձևավորվում է «Պետական պաշտոններ և պետական ծառայության պաշտոններ զբաղեցնող անձանց վարձատրության մասին» օրենքով սահմանված աշխատավարձի և պարգևատրման հանրագումարից): Ընդ որում, պետական կառավարման մարմինը սույն ենթակետով նախատեսված պայմանով ծառայությունների մատուցման պայմանագրեր կնքում է հիմնարկի այն աշխատակիցների հետ, որոնք հրաժարվել են զբաղեցնել հանրային ծառայության պաշտոն կամ չեն բավարար</w:t>
      </w:r>
      <w:r w:rsidR="00FA1354">
        <w:rPr>
          <w:rFonts w:ascii="GHEA Grapalat" w:hAnsi="GHEA Grapalat" w:cs="Tahoma"/>
          <w:sz w:val="24"/>
          <w:szCs w:val="24"/>
          <w:lang w:val="hy-AM"/>
        </w:rPr>
        <w:t xml:space="preserve">ում </w:t>
      </w:r>
      <w:r w:rsidR="00FA1354">
        <w:rPr>
          <w:rFonts w:cs="Tahoma"/>
          <w:sz w:val="24"/>
          <w:szCs w:val="24"/>
          <w:lang w:val="hy-AM"/>
        </w:rPr>
        <w:t>§</w:t>
      </w:r>
      <w:r w:rsidR="00FA1354">
        <w:rPr>
          <w:rFonts w:ascii="GHEA Grapalat" w:hAnsi="GHEA Grapalat" w:cs="Tahoma"/>
          <w:sz w:val="24"/>
          <w:szCs w:val="24"/>
          <w:lang w:val="hy-AM"/>
        </w:rPr>
        <w:t>Հանրային ծառայության մասին</w:t>
      </w:r>
      <w:r w:rsidR="00FA1354">
        <w:rPr>
          <w:rFonts w:cs="Tahoma"/>
          <w:sz w:val="24"/>
          <w:szCs w:val="24"/>
          <w:lang w:val="hy-AM"/>
        </w:rPr>
        <w:t>¦</w:t>
      </w:r>
      <w:r w:rsidRPr="00FA1354">
        <w:rPr>
          <w:rFonts w:ascii="GHEA Grapalat" w:hAnsi="GHEA Grapalat" w:cs="Tahoma"/>
          <w:sz w:val="24"/>
          <w:szCs w:val="24"/>
          <w:lang w:val="hy-AM"/>
        </w:rPr>
        <w:t xml:space="preserve"> </w:t>
      </w:r>
      <w:r w:rsidR="00FA1354">
        <w:rPr>
          <w:rFonts w:ascii="GHEA Grapalat" w:hAnsi="GHEA Grapalat" w:cs="Tahoma"/>
          <w:sz w:val="24"/>
          <w:szCs w:val="24"/>
          <w:lang w:val="hy-AM"/>
        </w:rPr>
        <w:t xml:space="preserve"> օրենքով սահմանված չափանիշներին</w:t>
      </w:r>
      <w:r w:rsidRPr="00FA1354">
        <w:rPr>
          <w:rFonts w:ascii="GHEA Grapalat" w:hAnsi="GHEA Grapalat" w:cs="Tahoma"/>
          <w:sz w:val="24"/>
          <w:szCs w:val="24"/>
          <w:lang w:val="hy-AM"/>
        </w:rPr>
        <w:t>՝</w:t>
      </w:r>
      <w:r w:rsidR="00FA1354" w:rsidRPr="00FA1354">
        <w:rPr>
          <w:rFonts w:ascii="GHEA Grapalat" w:hAnsi="GHEA Grapalat" w:cs="Tahoma"/>
          <w:sz w:val="24"/>
          <w:szCs w:val="24"/>
          <w:lang w:val="hy-AM"/>
        </w:rPr>
        <w:t xml:space="preserve"> </w:t>
      </w:r>
      <w:r w:rsidRPr="00FA1354">
        <w:rPr>
          <w:rFonts w:ascii="GHEA Grapalat" w:hAnsi="GHEA Grapalat" w:cs="Tahoma"/>
          <w:sz w:val="24"/>
          <w:szCs w:val="24"/>
          <w:lang w:val="hy-AM"/>
        </w:rPr>
        <w:t xml:space="preserve">պայմանագրերում սահմանելով այն պարտականությունների կատարումը, որոնք նախատեսված են եղել հիմնարկի կնքած աշխատանքային պայմանագրերով. </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lastRenderedPageBreak/>
        <w:t xml:space="preserve">2)  մինչև սույն կետի 1-ին ենթակետով նախատեսված ծառայությունների մատուցման պայմանագրերի գործողության ավարտը, դրանց ֆինանսավորման համար յուրաքանչյուր տարվա պետական պետական բյուջեի մասին օրենքի նախագծով նախատեսվում են համապատասխան ֆինանսական միջոցներ: </w:t>
      </w:r>
    </w:p>
    <w:p w:rsidR="0036590D" w:rsidRPr="00FA1354" w:rsidRDefault="0036590D" w:rsidP="0036590D">
      <w:pPr>
        <w:pStyle w:val="Style15"/>
        <w:rPr>
          <w:rFonts w:ascii="GHEA Grapalat" w:hAnsi="GHEA Grapalat" w:cs="Tahoma"/>
          <w:sz w:val="24"/>
          <w:szCs w:val="24"/>
          <w:lang w:val="hy-AM"/>
        </w:rPr>
      </w:pPr>
      <w:r w:rsidRPr="00FA1354">
        <w:rPr>
          <w:rFonts w:ascii="GHEA Grapalat" w:hAnsi="GHEA Grapalat" w:cs="Tahoma"/>
          <w:sz w:val="24"/>
          <w:szCs w:val="24"/>
          <w:lang w:val="hy-AM"/>
        </w:rPr>
        <w:t>4. Սույն որոշումն ուժի մեջ է մտնում պաշտոնական հրապարակմանը հաջորդող օրվանից:</w:t>
      </w:r>
    </w:p>
    <w:p w:rsidR="0036590D" w:rsidRPr="00FA1354" w:rsidRDefault="0036590D" w:rsidP="0036590D">
      <w:pPr>
        <w:pStyle w:val="Style15"/>
        <w:rPr>
          <w:rFonts w:ascii="GHEA Grapalat" w:hAnsi="GHEA Grapalat" w:cs="Tahoma"/>
          <w:sz w:val="24"/>
          <w:szCs w:val="24"/>
          <w:lang w:val="hy-AM"/>
        </w:rPr>
      </w:pPr>
    </w:p>
    <w:p w:rsidR="0036590D" w:rsidRDefault="0036590D" w:rsidP="0036590D">
      <w:pPr>
        <w:pStyle w:val="Style15"/>
        <w:rPr>
          <w:rFonts w:ascii="GHEA Grapalat" w:hAnsi="GHEA Grapalat" w:cs="Tahoma"/>
          <w:sz w:val="24"/>
          <w:szCs w:val="24"/>
          <w:lang w:val="hy-AM"/>
        </w:rPr>
      </w:pPr>
    </w:p>
    <w:p w:rsidR="00FA1354" w:rsidRDefault="00FA1354" w:rsidP="0036590D">
      <w:pPr>
        <w:pStyle w:val="Style15"/>
        <w:rPr>
          <w:rFonts w:ascii="GHEA Grapalat" w:hAnsi="GHEA Grapalat" w:cs="Tahoma"/>
          <w:sz w:val="24"/>
          <w:szCs w:val="24"/>
          <w:lang w:val="hy-AM"/>
        </w:rPr>
      </w:pPr>
    </w:p>
    <w:p w:rsidR="00FA1354" w:rsidRDefault="00FA1354" w:rsidP="0036590D">
      <w:pPr>
        <w:pStyle w:val="Style15"/>
        <w:rPr>
          <w:rFonts w:ascii="GHEA Grapalat" w:hAnsi="GHEA Grapalat" w:cs="Tahoma"/>
          <w:sz w:val="24"/>
          <w:szCs w:val="24"/>
          <w:lang w:val="hy-AM"/>
        </w:rPr>
      </w:pPr>
    </w:p>
    <w:p w:rsidR="00FA1354" w:rsidRPr="00FA1354" w:rsidRDefault="00FA1354" w:rsidP="0036590D">
      <w:pPr>
        <w:pStyle w:val="Style15"/>
        <w:rPr>
          <w:rFonts w:ascii="GHEA Grapalat" w:hAnsi="GHEA Grapalat" w:cs="Tahoma"/>
          <w:sz w:val="24"/>
          <w:szCs w:val="24"/>
          <w:lang w:val="hy-AM"/>
        </w:rPr>
      </w:pPr>
    </w:p>
    <w:p w:rsidR="0036590D" w:rsidRPr="00FA1354" w:rsidRDefault="0036590D" w:rsidP="0036590D">
      <w:pPr>
        <w:pStyle w:val="Style15"/>
        <w:rPr>
          <w:rFonts w:ascii="GHEA Grapalat" w:hAnsi="GHEA Grapalat" w:cs="Tahoma"/>
          <w:sz w:val="24"/>
          <w:szCs w:val="24"/>
        </w:rPr>
      </w:pPr>
      <w:proofErr w:type="spellStart"/>
      <w:r w:rsidRPr="00FA1354">
        <w:rPr>
          <w:rFonts w:ascii="GHEA Grapalat" w:hAnsi="GHEA Grapalat" w:cs="Tahoma"/>
          <w:sz w:val="24"/>
          <w:szCs w:val="24"/>
        </w:rPr>
        <w:t>Հայաստանի</w:t>
      </w:r>
      <w:proofErr w:type="spellEnd"/>
      <w:r w:rsidRPr="00FA1354">
        <w:rPr>
          <w:rFonts w:ascii="GHEA Grapalat" w:hAnsi="GHEA Grapalat" w:cs="Tahoma"/>
          <w:sz w:val="24"/>
          <w:szCs w:val="24"/>
        </w:rPr>
        <w:t xml:space="preserve"> </w:t>
      </w:r>
      <w:proofErr w:type="spellStart"/>
      <w:r w:rsidRPr="00FA1354">
        <w:rPr>
          <w:rFonts w:ascii="GHEA Grapalat" w:hAnsi="GHEA Grapalat" w:cs="Tahoma"/>
          <w:sz w:val="24"/>
          <w:szCs w:val="24"/>
        </w:rPr>
        <w:t>Հանրապետության</w:t>
      </w:r>
      <w:proofErr w:type="spellEnd"/>
    </w:p>
    <w:p w:rsidR="0036590D" w:rsidRPr="00FA1354" w:rsidRDefault="0036590D" w:rsidP="0036590D">
      <w:pPr>
        <w:pStyle w:val="Style15"/>
        <w:rPr>
          <w:rFonts w:ascii="GHEA Grapalat" w:hAnsi="GHEA Grapalat" w:cs="Tahoma"/>
          <w:sz w:val="24"/>
          <w:szCs w:val="24"/>
        </w:rPr>
      </w:pPr>
      <w:r w:rsidRPr="00FA1354">
        <w:rPr>
          <w:rFonts w:ascii="GHEA Grapalat" w:hAnsi="GHEA Grapalat" w:cs="Tahoma"/>
          <w:sz w:val="24"/>
          <w:szCs w:val="24"/>
        </w:rPr>
        <w:tab/>
      </w:r>
      <w:r w:rsidRPr="00FA1354">
        <w:rPr>
          <w:rFonts w:ascii="GHEA Grapalat" w:hAnsi="GHEA Grapalat" w:cs="Tahoma"/>
          <w:sz w:val="24"/>
          <w:szCs w:val="24"/>
        </w:rPr>
        <w:tab/>
      </w:r>
      <w:proofErr w:type="spellStart"/>
      <w:r w:rsidRPr="00FA1354">
        <w:rPr>
          <w:rFonts w:ascii="GHEA Grapalat" w:hAnsi="GHEA Grapalat" w:cs="Tahoma"/>
          <w:sz w:val="24"/>
          <w:szCs w:val="24"/>
        </w:rPr>
        <w:t>վարչապետ</w:t>
      </w:r>
      <w:proofErr w:type="spellEnd"/>
      <w:r w:rsidRPr="00FA1354">
        <w:rPr>
          <w:rFonts w:ascii="GHEA Grapalat" w:hAnsi="GHEA Grapalat" w:cs="Tahoma"/>
          <w:sz w:val="24"/>
          <w:szCs w:val="24"/>
        </w:rPr>
        <w:tab/>
      </w:r>
      <w:r w:rsidRPr="00FA1354">
        <w:rPr>
          <w:rFonts w:ascii="GHEA Grapalat" w:hAnsi="GHEA Grapalat" w:cs="Tahoma"/>
          <w:sz w:val="24"/>
          <w:szCs w:val="24"/>
        </w:rPr>
        <w:tab/>
      </w:r>
      <w:r w:rsidRPr="00FA1354">
        <w:rPr>
          <w:rFonts w:ascii="GHEA Grapalat" w:hAnsi="GHEA Grapalat" w:cs="Tahoma"/>
          <w:sz w:val="24"/>
          <w:szCs w:val="24"/>
        </w:rPr>
        <w:tab/>
      </w:r>
      <w:r w:rsidRPr="00FA1354">
        <w:rPr>
          <w:rFonts w:ascii="GHEA Grapalat" w:hAnsi="GHEA Grapalat" w:cs="Tahoma"/>
          <w:sz w:val="24"/>
          <w:szCs w:val="24"/>
        </w:rPr>
        <w:tab/>
      </w:r>
      <w:r w:rsidRPr="00FA1354">
        <w:rPr>
          <w:rFonts w:ascii="GHEA Grapalat" w:hAnsi="GHEA Grapalat" w:cs="Tahoma"/>
          <w:sz w:val="24"/>
          <w:szCs w:val="24"/>
        </w:rPr>
        <w:tab/>
      </w:r>
      <w:r w:rsidRPr="00FA1354">
        <w:rPr>
          <w:rFonts w:ascii="GHEA Grapalat" w:hAnsi="GHEA Grapalat" w:cs="Tahoma"/>
          <w:sz w:val="24"/>
          <w:szCs w:val="24"/>
        </w:rPr>
        <w:tab/>
      </w:r>
      <w:r w:rsidRPr="00FA1354">
        <w:rPr>
          <w:rFonts w:ascii="GHEA Grapalat" w:hAnsi="GHEA Grapalat" w:cs="Tahoma"/>
          <w:sz w:val="24"/>
          <w:szCs w:val="24"/>
        </w:rPr>
        <w:tab/>
        <w:t xml:space="preserve">Ն. </w:t>
      </w:r>
      <w:proofErr w:type="spellStart"/>
      <w:r w:rsidRPr="00FA1354">
        <w:rPr>
          <w:rFonts w:ascii="GHEA Grapalat" w:hAnsi="GHEA Grapalat" w:cs="Tahoma"/>
          <w:sz w:val="24"/>
          <w:szCs w:val="24"/>
        </w:rPr>
        <w:t>Փաշինյան</w:t>
      </w:r>
      <w:proofErr w:type="spellEnd"/>
    </w:p>
    <w:p w:rsidR="0036590D" w:rsidRPr="00FA1354" w:rsidRDefault="0036590D">
      <w:pPr>
        <w:rPr>
          <w:rFonts w:ascii="GHEA Grapalat" w:hAnsi="GHEA Grapalat"/>
        </w:rPr>
      </w:pPr>
    </w:p>
    <w:sectPr w:rsidR="0036590D" w:rsidRPr="00FA1354" w:rsidSect="00742732">
      <w:pgSz w:w="12240" w:h="15840"/>
      <w:pgMar w:top="1560" w:right="758" w:bottom="117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0D"/>
    <w:rsid w:val="00317BD7"/>
    <w:rsid w:val="0036590D"/>
    <w:rsid w:val="00742732"/>
    <w:rsid w:val="007B565D"/>
    <w:rsid w:val="008629F7"/>
    <w:rsid w:val="00FA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AB78A-191F-4ED0-BFBD-EE078452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0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90D"/>
    <w:pPr>
      <w:spacing w:before="100" w:beforeAutospacing="1" w:after="100" w:afterAutospacing="1" w:line="240" w:lineRule="auto"/>
    </w:pPr>
    <w:rPr>
      <w:rFonts w:ascii="Times New Roman" w:hAnsi="Times New Roman"/>
      <w:sz w:val="24"/>
      <w:szCs w:val="24"/>
      <w:lang w:val="ru-RU" w:eastAsia="ru-RU"/>
    </w:rPr>
  </w:style>
  <w:style w:type="character" w:styleId="Strong">
    <w:name w:val="Strong"/>
    <w:qFormat/>
    <w:rsid w:val="0036590D"/>
    <w:rPr>
      <w:rFonts w:cs="Times New Roman"/>
      <w:b/>
      <w:bCs/>
    </w:rPr>
  </w:style>
  <w:style w:type="paragraph" w:customStyle="1" w:styleId="mechtex">
    <w:name w:val="mechtex"/>
    <w:basedOn w:val="Normal"/>
    <w:link w:val="mechtexChar"/>
    <w:rsid w:val="0036590D"/>
    <w:pPr>
      <w:spacing w:after="0" w:line="240" w:lineRule="auto"/>
      <w:jc w:val="center"/>
    </w:pPr>
    <w:rPr>
      <w:rFonts w:ascii="Arial Armenian" w:hAnsi="Arial Armenian"/>
      <w:sz w:val="20"/>
      <w:szCs w:val="20"/>
      <w:lang w:val="x-none" w:eastAsia="ru-RU"/>
    </w:rPr>
  </w:style>
  <w:style w:type="character" w:customStyle="1" w:styleId="mechtexChar">
    <w:name w:val="mechtex Char"/>
    <w:link w:val="mechtex"/>
    <w:locked/>
    <w:rsid w:val="0036590D"/>
    <w:rPr>
      <w:rFonts w:ascii="Arial Armenian" w:eastAsia="Times New Roman" w:hAnsi="Arial Armenian" w:cs="Times New Roman"/>
      <w:sz w:val="20"/>
      <w:szCs w:val="20"/>
      <w:lang w:val="x-none" w:eastAsia="ru-RU"/>
    </w:rPr>
  </w:style>
  <w:style w:type="paragraph" w:customStyle="1" w:styleId="Style15">
    <w:name w:val="Style1.5"/>
    <w:basedOn w:val="Normal"/>
    <w:rsid w:val="0036590D"/>
    <w:pPr>
      <w:spacing w:after="0" w:line="360" w:lineRule="auto"/>
      <w:ind w:firstLine="709"/>
      <w:jc w:val="both"/>
    </w:pPr>
    <w:rPr>
      <w:rFonts w:ascii="Arial Armenian" w:hAnsi="Arial Armenian"/>
      <w:lang w:eastAsia="ru-RU"/>
    </w:rPr>
  </w:style>
  <w:style w:type="paragraph" w:styleId="BalloonText">
    <w:name w:val="Balloon Text"/>
    <w:basedOn w:val="Normal"/>
    <w:link w:val="BalloonTextChar"/>
    <w:uiPriority w:val="99"/>
    <w:semiHidden/>
    <w:unhideWhenUsed/>
    <w:rsid w:val="0036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9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Harutyunyan</dc:creator>
  <cp:keywords>Mulberry 2.0</cp:keywords>
  <dc:description/>
  <cp:lastModifiedBy>Anjelika Khachanyan</cp:lastModifiedBy>
  <cp:revision>2</cp:revision>
  <cp:lastPrinted>2019-03-19T11:50:00Z</cp:lastPrinted>
  <dcterms:created xsi:type="dcterms:W3CDTF">2019-03-29T07:15:00Z</dcterms:created>
  <dcterms:modified xsi:type="dcterms:W3CDTF">2019-03-29T07:15:00Z</dcterms:modified>
</cp:coreProperties>
</file>