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36" w:rsidRPr="00FE5EEA" w:rsidRDefault="00E50036" w:rsidP="00E5003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E5EEA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E50036" w:rsidRPr="00FE5EEA" w:rsidRDefault="00E50036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Style w:val="Strong"/>
          <w:rFonts w:ascii="GHEA Grapalat" w:hAnsi="GHEA Grapalat"/>
          <w:color w:val="000000"/>
        </w:rPr>
      </w:pPr>
    </w:p>
    <w:p w:rsidR="00E50036" w:rsidRPr="00FE5EEA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Fonts w:ascii="GHEA Grapalat" w:hAnsi="GHEA Grapalat"/>
          <w:b/>
          <w:bCs/>
          <w:color w:val="000000"/>
        </w:rPr>
      </w:pPr>
      <w:r w:rsidRPr="00FE5EEA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4F4A32" w:rsidRPr="00FE5EEA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Fonts w:ascii="GHEA Grapalat" w:hAnsi="GHEA Grapalat"/>
          <w:color w:val="000000"/>
        </w:rPr>
      </w:pPr>
      <w:r w:rsidRPr="00FE5EEA">
        <w:rPr>
          <w:rFonts w:ascii="Calibri" w:hAnsi="Calibri" w:cs="Calibri"/>
          <w:color w:val="000000"/>
        </w:rPr>
        <w:t> </w:t>
      </w:r>
    </w:p>
    <w:p w:rsidR="004F4A32" w:rsidRPr="00FE5EEA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Fonts w:ascii="GHEA Grapalat" w:hAnsi="GHEA Grapalat"/>
          <w:color w:val="000000"/>
        </w:rPr>
      </w:pPr>
      <w:r w:rsidRPr="00FE5EEA">
        <w:rPr>
          <w:rStyle w:val="Strong"/>
          <w:rFonts w:ascii="GHEA Grapalat" w:hAnsi="GHEA Grapalat"/>
          <w:color w:val="000000"/>
        </w:rPr>
        <w:t>Ո Ր Ո Շ ՈՒ Մ</w:t>
      </w:r>
    </w:p>
    <w:p w:rsidR="004F4A32" w:rsidRPr="00FE5EEA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Fonts w:ascii="GHEA Grapalat" w:hAnsi="GHEA Grapalat"/>
          <w:color w:val="000000"/>
        </w:rPr>
      </w:pPr>
      <w:r w:rsidRPr="00FE5EEA">
        <w:rPr>
          <w:rFonts w:ascii="Calibri" w:hAnsi="Calibri" w:cs="Calibri"/>
          <w:color w:val="000000"/>
        </w:rPr>
        <w:t> </w:t>
      </w:r>
    </w:p>
    <w:p w:rsidR="004F4A32" w:rsidRPr="005066B8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jc w:val="center"/>
        <w:rPr>
          <w:rFonts w:ascii="GHEA Grapalat" w:hAnsi="GHEA Grapalat"/>
          <w:color w:val="FF0000"/>
          <w:lang w:val="hy-AM"/>
        </w:rPr>
      </w:pPr>
      <w:r w:rsidRPr="00FE5EEA">
        <w:rPr>
          <w:rFonts w:ascii="GHEA Grapalat" w:hAnsi="GHEA Grapalat"/>
          <w:color w:val="000000"/>
        </w:rPr>
        <w:t>---</w:t>
      </w:r>
      <w:r w:rsidRPr="00FE5EEA">
        <w:rPr>
          <w:rFonts w:ascii="Calibri" w:hAnsi="Calibri" w:cs="Calibri"/>
          <w:color w:val="000000"/>
        </w:rPr>
        <w:t> </w:t>
      </w:r>
      <w:r w:rsidRPr="00FE5EEA">
        <w:rPr>
          <w:rFonts w:ascii="GHEA Grapalat" w:hAnsi="GHEA Grapalat" w:cs="Arial Unicode"/>
          <w:color w:val="000000"/>
        </w:rPr>
        <w:t>-----------------------</w:t>
      </w:r>
      <w:r w:rsidRPr="00FE5EEA">
        <w:rPr>
          <w:rFonts w:ascii="GHEA Grapalat" w:hAnsi="GHEA Grapalat"/>
          <w:color w:val="000000"/>
        </w:rPr>
        <w:t xml:space="preserve"> 2019 </w:t>
      </w:r>
      <w:r w:rsidRPr="00FE5EEA">
        <w:rPr>
          <w:rFonts w:ascii="GHEA Grapalat" w:hAnsi="GHEA Grapalat" w:cs="Arial Unicode"/>
          <w:color w:val="000000"/>
        </w:rPr>
        <w:t>թվականի</w:t>
      </w:r>
      <w:r w:rsidRPr="00FE5EEA">
        <w:rPr>
          <w:rFonts w:ascii="GHEA Grapalat" w:hAnsi="GHEA Grapalat"/>
          <w:color w:val="000000"/>
        </w:rPr>
        <w:t xml:space="preserve"> N </w:t>
      </w:r>
      <w:r w:rsidRPr="005066B8">
        <w:rPr>
          <w:rFonts w:ascii="GHEA Grapalat" w:hAnsi="GHEA Grapalat"/>
        </w:rPr>
        <w:t>-----  -</w:t>
      </w:r>
      <w:r w:rsidR="005066B8" w:rsidRPr="005066B8">
        <w:rPr>
          <w:rFonts w:ascii="GHEA Grapalat" w:hAnsi="GHEA Grapalat" w:cs="Arial Unicode"/>
          <w:lang w:val="hy-AM"/>
        </w:rPr>
        <w:t>Լ</w:t>
      </w:r>
    </w:p>
    <w:p w:rsidR="004F4A32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727630" w:rsidRPr="00FB082C" w:rsidRDefault="004F4A32" w:rsidP="00E15FFC">
      <w:pPr>
        <w:pStyle w:val="NormalWeb"/>
        <w:shd w:val="clear" w:color="auto" w:fill="FFFFFF"/>
        <w:spacing w:before="0" w:beforeAutospacing="0" w:after="0" w:afterAutospacing="0"/>
        <w:ind w:left="-450" w:right="-630"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727630" w:rsidRPr="00FB082C" w:rsidRDefault="002D4323" w:rsidP="00E15FFC">
      <w:pPr>
        <w:shd w:val="clear" w:color="auto" w:fill="FFFFFF"/>
        <w:spacing w:after="0" w:line="240" w:lineRule="auto"/>
        <w:ind w:left="-450" w:right="-63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B08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 ՇԱՐՔ </w:t>
      </w:r>
      <w:r w:rsidR="00727630" w:rsidRPr="00FB082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ՊԵՏԱԿԱՆ ՈՉ ԱՌԵՎՏՐԱՅԻՆ </w:t>
      </w:r>
      <w:r w:rsidRPr="00FB082C">
        <w:rPr>
          <w:rFonts w:ascii="GHEA Grapalat" w:eastAsia="Times New Roman" w:hAnsi="GHEA Grapalat" w:cs="Times New Roman"/>
          <w:b/>
          <w:bCs/>
          <w:sz w:val="24"/>
          <w:szCs w:val="24"/>
        </w:rPr>
        <w:t>ԿԱԶՄԱԿԵՐՊՈՒԹՅՈՒՆՆԵՐ</w:t>
      </w:r>
      <w:r w:rsidR="00727630" w:rsidRPr="00FB082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ՎԵՐԱԿԱԶՄԱԿԵՐՊԵԼՈՒ ՄԱՍԻՆ</w:t>
      </w:r>
    </w:p>
    <w:p w:rsidR="00727630" w:rsidRPr="00727630" w:rsidRDefault="00727630" w:rsidP="00E15FFC">
      <w:pPr>
        <w:shd w:val="clear" w:color="auto" w:fill="FFFFFF"/>
        <w:spacing w:after="0" w:line="240" w:lineRule="auto"/>
        <w:ind w:left="-450" w:right="-630"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2763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716A64" w:rsidRPr="00E15FFC" w:rsidRDefault="00727630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b/>
          <w:bCs/>
          <w:iCs/>
          <w:sz w:val="24"/>
          <w:szCs w:val="24"/>
        </w:rPr>
      </w:pPr>
      <w:r w:rsidRPr="00E15FFC">
        <w:rPr>
          <w:rFonts w:ascii="GHEA Grapalat" w:eastAsia="Times New Roman" w:hAnsi="GHEA Grapalat" w:cs="Times New Roman"/>
          <w:sz w:val="24"/>
          <w:szCs w:val="24"/>
        </w:rPr>
        <w:t xml:space="preserve">Հիմք ընդունելով Հայաստանի Հանրապետության քաղաքացիական օրենսգրքի 63-րդ </w:t>
      </w:r>
      <w:r w:rsidR="00057B2F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605-րդ </w:t>
      </w:r>
      <w:r w:rsidR="00EB4F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685-րդ </w:t>
      </w:r>
      <w:r w:rsidRPr="00E15FFC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057B2F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15FFC">
        <w:rPr>
          <w:rFonts w:ascii="GHEA Grapalat" w:eastAsia="Times New Roman" w:hAnsi="GHEA Grapalat" w:cs="Times New Roman"/>
          <w:sz w:val="24"/>
          <w:szCs w:val="24"/>
        </w:rPr>
        <w:t xml:space="preserve">ը, «Պետական ոչ առևտրային կազմակերպությունների մասին» Հայաստանի Հանրապետության օրենքի 4-րդ հոդվածի 1-ին մասը, 13-րդ հոդվածի 2-րդ մասի «զ» ենթակետը, 24-րդ հոդվածը, «Բաժնետիրական ընկերությունների մասին» Հայաստանի Հանրապետության օրենքի </w:t>
      </w:r>
      <w:r w:rsidR="00741D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9-րդ և </w:t>
      </w:r>
      <w:r w:rsidR="005066B8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Pr="00E15FFC">
        <w:rPr>
          <w:rFonts w:ascii="GHEA Grapalat" w:eastAsia="Times New Roman" w:hAnsi="GHEA Grapalat" w:cs="Times New Roman"/>
          <w:sz w:val="24"/>
          <w:szCs w:val="24"/>
        </w:rPr>
        <w:t>-րդ հոդված</w:t>
      </w:r>
      <w:r w:rsidR="00741D7E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bookmarkStart w:id="0" w:name="_GoBack"/>
      <w:bookmarkEnd w:id="0"/>
      <w:r w:rsidRPr="00E15FFC">
        <w:rPr>
          <w:rFonts w:ascii="GHEA Grapalat" w:eastAsia="Times New Roman" w:hAnsi="GHEA Grapalat" w:cs="Times New Roman"/>
          <w:sz w:val="24"/>
          <w:szCs w:val="24"/>
        </w:rPr>
        <w:t>ը` Հայաստանի Հանրապետության կառավարությունը</w:t>
      </w:r>
      <w:r w:rsidRPr="00E15FFC">
        <w:rPr>
          <w:rFonts w:ascii="Calibri" w:eastAsia="Times New Roman" w:hAnsi="Calibri" w:cs="Calibri"/>
          <w:sz w:val="24"/>
          <w:szCs w:val="24"/>
        </w:rPr>
        <w:t> </w:t>
      </w:r>
      <w:r w:rsidRPr="00E15FFC">
        <w:rPr>
          <w:rFonts w:ascii="GHEA Grapalat" w:eastAsia="Times New Roman" w:hAnsi="GHEA Grapalat" w:cs="Times New Roman"/>
          <w:b/>
          <w:bCs/>
          <w:iCs/>
          <w:sz w:val="24"/>
          <w:szCs w:val="24"/>
        </w:rPr>
        <w:t>որոշում է.</w:t>
      </w:r>
    </w:p>
    <w:p w:rsidR="00D34110" w:rsidRPr="00E15FFC" w:rsidRDefault="008C6109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15FFC">
        <w:rPr>
          <w:rFonts w:ascii="GHEA Grapalat" w:hAnsi="GHEA Grapalat"/>
          <w:sz w:val="24"/>
          <w:szCs w:val="24"/>
          <w:lang w:val="hy-AM"/>
        </w:rPr>
        <w:t xml:space="preserve">1. «Բանջարաբոստանային և տեխնիկական մշակաբույսերի գիտական կենտրոն» </w:t>
      </w:r>
      <w:r w:rsidR="002D4323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կազմակերպությունը 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(պետական գրանցման համարը՝ </w:t>
      </w:r>
      <w:r w:rsidR="001439A2" w:rsidRPr="001439A2">
        <w:rPr>
          <w:rFonts w:ascii="GHEA Grapalat" w:hAnsi="GHEA Grapalat"/>
          <w:bCs/>
          <w:color w:val="000000"/>
          <w:sz w:val="24"/>
          <w:szCs w:val="24"/>
        </w:rPr>
        <w:t>77.210.00927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>, Արարատի մարզ, Մասիսի ենթատարածք, գյուղ Դարակերտ</w:t>
      </w:r>
      <w:r w:rsidR="002D4323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EB6845">
        <w:rPr>
          <w:rFonts w:ascii="GHEA Grapalat" w:hAnsi="GHEA Grapalat"/>
          <w:color w:val="000000"/>
          <w:sz w:val="24"/>
          <w:szCs w:val="24"/>
          <w:lang w:val="hy-AM"/>
        </w:rPr>
        <w:t>վերակազմավորման</w:t>
      </w:r>
      <w:r w:rsidR="002D4323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ձևով վերակազմակերպել «Բանջարաբոստանային և տեխնիկական մշակաբույսերի գիտական կենտրոն» փակ բաժնետիրական ընկերության</w:t>
      </w:r>
      <w:r w:rsidR="00BA162A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A162A" w:rsidRPr="00E15FFC">
        <w:rPr>
          <w:rFonts w:ascii="GHEA Grapalat" w:hAnsi="GHEA Grapalat"/>
          <w:color w:val="000000"/>
          <w:sz w:val="24"/>
          <w:szCs w:val="24"/>
        </w:rPr>
        <w:t>(</w:t>
      </w:r>
      <w:r w:rsidR="00BA162A" w:rsidRPr="00E15FFC">
        <w:rPr>
          <w:rFonts w:ascii="GHEA Grapalat" w:hAnsi="GHEA Grapalat"/>
          <w:color w:val="000000"/>
          <w:sz w:val="24"/>
          <w:szCs w:val="24"/>
          <w:lang w:val="hy-AM"/>
        </w:rPr>
        <w:t>այսուհետ՝ ընկերություն 1</w:t>
      </w:r>
      <w:r w:rsidR="00BA162A" w:rsidRPr="00E15FFC">
        <w:rPr>
          <w:rFonts w:ascii="GHEA Grapalat" w:hAnsi="GHEA Grapalat"/>
          <w:color w:val="000000"/>
          <w:sz w:val="24"/>
          <w:szCs w:val="24"/>
        </w:rPr>
        <w:t>)</w:t>
      </w:r>
      <w:r w:rsidR="002D4323" w:rsidRPr="00E15FFC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A162A" w:rsidRPr="00E15FFC">
        <w:rPr>
          <w:rFonts w:ascii="GHEA Grapalat" w:hAnsi="GHEA Grapalat"/>
          <w:color w:val="000000"/>
          <w:sz w:val="24"/>
          <w:szCs w:val="24"/>
          <w:lang w:val="hy-AM"/>
        </w:rPr>
        <w:t>Ընկերություն 1-ի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կանոնադրական կապիտալի չափը սահմանել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50000 ՀՀ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դրամ, որը բաժանված է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հատ հասարակ (սովորական) բաժնետոմսի` յուրաքանչյուրը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10000 ՀՀ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 անվանական արժեքով: </w:t>
      </w:r>
      <w:r w:rsidR="00BA162A" w:rsidRPr="00E15FFC">
        <w:rPr>
          <w:rFonts w:ascii="GHEA Grapalat" w:hAnsi="GHEA Grapalat"/>
          <w:color w:val="000000"/>
          <w:sz w:val="24"/>
          <w:szCs w:val="24"/>
          <w:lang w:val="hy-AM"/>
        </w:rPr>
        <w:t>Ընկերություն 1-ի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բոլոր բաժնետոմսերը պատկանում են Հայաստանի Հանրապետությանը:</w:t>
      </w:r>
      <w:r w:rsidR="00BA162A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Ընկերություն 1-ի</w:t>
      </w:r>
      <w:r w:rsidR="00D34110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սեփականություն հանդիսացող բոլոր 100 տոկոս բաժնետոմսերի փաթեթի կառավարման լիազորությունը վերապահել Հայաստանի Հանրապետության գյուղատնտեսության նախարարությանը:</w:t>
      </w:r>
    </w:p>
    <w:p w:rsidR="002D4323" w:rsidRPr="00E15FFC" w:rsidRDefault="002D4323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«Երկրագործության գիտական կենտրոն» 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կազմակերպությունը 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(պետական գրանցման համարը՝ 38.210.01559, Արմավիրի մարզ, ք, վաղարշապատ, Իսի Լե Մուլինո 1) </w:t>
      </w:r>
      <w:r w:rsidR="00211D86" w:rsidRPr="00E15FFC">
        <w:rPr>
          <w:rFonts w:ascii="GHEA Grapalat" w:hAnsi="GHEA Grapalat"/>
          <w:color w:val="000000"/>
          <w:sz w:val="24"/>
          <w:szCs w:val="24"/>
          <w:lang w:val="hy-AM"/>
        </w:rPr>
        <w:t>վերակազմավորման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ձևով վերակազմակերպել «Երկրագործության գիտական կենտրոն» փակ բաժնետիրական ընկերության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>(այսուհետ՝ ընկերություն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>)։ Ընկերություն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-ի կանոնադրական կապիտալի չափը սահմանել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50000 ՀՀ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դրամ, որը բաժանված է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հատ հասարակ (սովորական) բաժնետոմսի` յուրաքանչյուրը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10000 ՀՀ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 անվանական արժեքով: Ընկերություն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>-ի բոլոր բաժնետոմսերը պատկանում են Հայաստանի Հանրապետությանը: Ընկերություն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="00552927" w:rsidRPr="00E15FFC">
        <w:rPr>
          <w:rFonts w:ascii="GHEA Grapalat" w:hAnsi="GHEA Grapalat"/>
          <w:color w:val="000000"/>
          <w:sz w:val="24"/>
          <w:szCs w:val="24"/>
          <w:lang w:val="hy-AM"/>
        </w:rPr>
        <w:t>-ի պետական սեփականություն հանդիսացող բոլոր 100 տոկոս բաժնետոմսերի փաթեթի կառավարման լիազորությունը վերապահել Հայաստանի Հանրապետության գյուղատնտեսության նախարարությանը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8C6109" w:rsidRPr="00E15FFC" w:rsidRDefault="002D4323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«Սննդամթերքի անվտանգության ոլորտի ռիսկերի գնահատման և վերլուծության գիտական կենտրոն» (պետական գրանցման համարը՝ 42.210.02172, </w:t>
      </w:r>
      <w:r w:rsidR="008C6109" w:rsidRPr="00E15FFC">
        <w:rPr>
          <w:rFonts w:ascii="GHEA Grapalat" w:hAnsi="GHEA Grapalat"/>
          <w:sz w:val="24"/>
          <w:szCs w:val="24"/>
          <w:lang w:val="hy-AM"/>
        </w:rPr>
        <w:t>քաղ. Երևան, Շենգավիթ, Մասիսի խճուղի 107/2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) պետական ոչ առևտրային </w:t>
      </w: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EB6845">
        <w:rPr>
          <w:rFonts w:ascii="GHEA Grapalat" w:hAnsi="GHEA Grapalat"/>
          <w:color w:val="000000"/>
          <w:sz w:val="24"/>
          <w:szCs w:val="24"/>
          <w:lang w:val="hy-AM"/>
        </w:rPr>
        <w:t>վերակազմավորման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ձևով վերակազմակերպել «Սննդամթերքի անվտանգության ոլորտի ռիսկերի գնահատման և </w:t>
      </w:r>
      <w:r w:rsidR="008C6109" w:rsidRPr="00E15FF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վերլուծության գիտական կենտրոն» փակ բաժնետիրական ընկերության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ընկերություն 3)։ Ընկերություն 3-ի կանոնադրական կապիտալի չափը սահմանել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50000 ՀՀ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դրամ, որը բաժանված է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հատ հասարակ (սովորական) բաժնետոմսի` յուրաքանչյուրը </w:t>
      </w:r>
      <w:r w:rsidR="00B16287" w:rsidRPr="00E15FFC">
        <w:rPr>
          <w:rFonts w:ascii="GHEA Grapalat" w:hAnsi="GHEA Grapalat"/>
          <w:color w:val="000000"/>
          <w:sz w:val="24"/>
          <w:szCs w:val="24"/>
          <w:lang w:val="hy-AM"/>
        </w:rPr>
        <w:t>10000 ՀՀ</w:t>
      </w:r>
      <w:r w:rsidR="009C057B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 անվանական արժեքով: Ընկերություն 3-ի բոլոր բաժնետոմսերը պատկանում են Հայաստանի Հանրապետությանը: Ընկերություն 3-ի պետական սեփականություն հանդիսացող բոլոր 100 տոկոս բաժնետոմսերի փաթեթի կառավարման լիազորությունը վերապահել Հայաստանի Հանրապետության գյուղատնտեսության նախարարությանը:</w:t>
      </w:r>
    </w:p>
    <w:p w:rsidR="00727630" w:rsidRPr="00E15FFC" w:rsidRDefault="00D37487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="00727630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9C057B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Ընկերություն 1-ի, 2-ի և 3-ի</w:t>
      </w:r>
      <w:r w:rsidR="00727630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պետական սեփականություն հանդիսացող բաժնետոմսերի կառավարման, ինչպես նաև «Բաժնետիրական ընկերությունների մասին» Հայաստանի Հանրապետության օրենքի </w:t>
      </w:r>
      <w:r w:rsidR="00727630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12-րդ հոդվածի 3-րդ մասով նախատեսված</w:t>
      </w:r>
      <w:r w:rsidR="00727630" w:rsidRPr="00E15FF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727630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մյուս լիազորությունները վերապահել Հայաստանի Հանրապետության </w:t>
      </w:r>
      <w:r w:rsidR="00A2307C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գյուղատնտեսության </w:t>
      </w:r>
      <w:r w:rsidR="00727630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նախարարությանը:</w:t>
      </w:r>
    </w:p>
    <w:p w:rsidR="00211D86" w:rsidRPr="00E15FFC" w:rsidRDefault="00893775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727630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454C31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Սահմանել, որ սույն որոշման 1-ին, 2-րդ և 3-րդ կետերով վերակազմակերպման արդյունքում ստեղծվող ընկերությունների կանոնադրական կապիտալը ձևավորվում է համապատասխանաբար վերակազմակերպված պետական ոչ առևտրային կազմակերպություններին սեփականության իրավունքով պատկանող</w:t>
      </w:r>
      <w:r w:rsidR="00211D86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գույքով։</w:t>
      </w:r>
      <w:r w:rsidR="00454C31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211D86" w:rsidRPr="00E15FFC" w:rsidRDefault="00211D86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6. Սույն որոշման 1-ին, 2-րդ և 3-րդ կետերով վերակազմակերպվող կազմակերպություններին</w:t>
      </w:r>
      <w:r w:rsidR="00454C31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անհատույց օգտագործման իրավունքով ամրացված </w:t>
      </w: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գույք</w:t>
      </w:r>
      <w:r w:rsidR="00EB1DFA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 հետ վերցնել և անհատույց օգտագործման իրավունքով համապատասխանաբար </w:t>
      </w:r>
      <w:r w:rsidR="00EB4F4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հանձնե</w:t>
      </w:r>
      <w:r w:rsidR="00EB1DFA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 վերակազմակերպված ընկերություններին</w:t>
      </w: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FE5EEA" w:rsidRPr="00E15FFC" w:rsidRDefault="00211D86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27630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Հայաստանի Հանրապետության </w:t>
      </w:r>
      <w:r w:rsidR="00A2307C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գյուղատնտեսության</w:t>
      </w:r>
      <w:r w:rsidR="00727630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նախարարին</w:t>
      </w:r>
      <w:r w:rsidR="00FE5EEA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232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որոշումն ուժի մեջ մտելուց հետո </w:t>
      </w:r>
      <w:r w:rsidR="00EC3F7C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երկամսյա </w:t>
      </w:r>
      <w:r w:rsidR="00FE5EEA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ժամկետում</w:t>
      </w:r>
      <w:r w:rsidR="00727630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893775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15FFC" w:rsidRPr="00E15FFC" w:rsidRDefault="00FE5EEA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EC3F7C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հաստատել </w:t>
      </w:r>
      <w:r w:rsidR="00EC3F7C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Ընկերություն 1-ի, 2-ի և 3-ի</w:t>
      </w:r>
      <w:r w:rsidR="00EC3F7C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619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փոխանցման ակտերը</w:t>
      </w:r>
      <w:r w:rsidR="004C619A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619A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EC3F7C" w:rsidRPr="00E15FFC">
        <w:rPr>
          <w:rFonts w:ascii="GHEA Grapalat" w:hAnsi="GHEA Grapalat"/>
          <w:color w:val="000000"/>
          <w:sz w:val="24"/>
          <w:szCs w:val="24"/>
          <w:lang w:val="hy-AM"/>
        </w:rPr>
        <w:t>կանոնադրությունները.</w:t>
      </w:r>
    </w:p>
    <w:p w:rsidR="00FE5EEA" w:rsidRPr="00E15FFC" w:rsidRDefault="00FE5EEA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EC3F7C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ձևավորել </w:t>
      </w:r>
      <w:r w:rsidR="00EC3F7C" w:rsidRPr="00E15FFC">
        <w:rPr>
          <w:rFonts w:ascii="GHEA Grapalat" w:hAnsi="GHEA Grapalat"/>
          <w:sz w:val="24"/>
          <w:szCs w:val="24"/>
          <w:lang w:val="hy-AM"/>
        </w:rPr>
        <w:t>Ընկերություն 1-ի, 2-ի և 3-ի</w:t>
      </w:r>
      <w:r w:rsidR="00EC3F7C" w:rsidRPr="00E15FFC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գործադիր մարմինները</w:t>
      </w:r>
      <w:r w:rsidR="00EC3F7C" w:rsidRPr="00E15FF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:rsidR="00FE5EEA" w:rsidRPr="00E15FFC" w:rsidRDefault="004C619A" w:rsidP="004C619A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EC3F7C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ապահովել Ընկերություն 1-ի, 2-ի և 3-ի պետական գրանցումը և օրենքով սահմանված՝ Ընկերություն 1-ի, 2-ի և 3-ի հիմնադրի մյուս լիազորությունների իրականացումը:</w:t>
      </w:r>
    </w:p>
    <w:p w:rsidR="00057B2F" w:rsidRPr="00E15FFC" w:rsidRDefault="00211D86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Ընկերություն 1-ի, 2-ի և 3-ի</w:t>
      </w:r>
      <w:r w:rsidR="00B16287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5-ական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բաժնետոմսեր</w:t>
      </w:r>
      <w:r w:rsidR="0078763A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յուրաքանչյուրը՝ </w:t>
      </w:r>
      <w:r w:rsidR="00B16287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10000 ՀՀ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դրամ անվանական արժեքով, նվիրաբերել «Հայաստանի ազգային ագրարային համալսարան» հիմնադրամին՝ Ընկերություն 1-ի, 2-ի և 3-ի կանոնադրություններով նախատեսված գործունեության տեսակների իրականացումը շարունակելու պայմանով:</w:t>
      </w:r>
    </w:p>
    <w:p w:rsidR="00057B2F" w:rsidRPr="00E15FFC" w:rsidRDefault="00211D86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Հայաստանի Հանրապետության գյուղատնտեսության նախարարին՝ </w:t>
      </w:r>
      <w:r w:rsidR="00FB082C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մեկամսյա ժամկետում 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որոշ</w:t>
      </w:r>
      <w:r w:rsidR="00FB082C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ման 6-րդ կետով նախատեսված գործողությունների կատարումից 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օրենսդրությամբ սահմանված կարգով ապահովել Ը</w:t>
      </w:r>
      <w:r w:rsidR="00101876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նկերությու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101876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1-ի, 2-ի և 3-ի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բաժնետոմսերի հանձնման-ընդունման աշխատանքների կատարումը՝ կնքելով բաժնետոմսերի</w:t>
      </w:r>
      <w:r w:rsidR="00101876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նվիրաբերության մասին պայմանագրեր</w:t>
      </w:r>
      <w:r w:rsidR="00EB1DFA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ամրագրելով, որ 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պայմանագր</w:t>
      </w:r>
      <w:r w:rsidR="00FB082C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</w:t>
      </w:r>
      <w:r w:rsidR="00057B2F" w:rsidRPr="00E15F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ից բխող նոտարական վավերացման և իրավունքների պետական գրանցման հետ կապված ծախսերը ենթակա են իրականացման «Հայաստանի ազգային ագրարային համալսարան» հիմնադրամի միջոցների հաշվին:</w:t>
      </w:r>
    </w:p>
    <w:p w:rsidR="00727630" w:rsidRPr="00E15FFC" w:rsidRDefault="00E15FFC" w:rsidP="00E15FFC">
      <w:pPr>
        <w:shd w:val="clear" w:color="auto" w:fill="FFFFFF"/>
        <w:spacing w:after="0" w:line="240" w:lineRule="auto"/>
        <w:ind w:left="-45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727630" w:rsidRPr="00E15FFC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հրապարակմանը հաջորդող օրվանից։</w:t>
      </w:r>
    </w:p>
    <w:p w:rsidR="00E15FFC" w:rsidRDefault="00E15FFC" w:rsidP="000738DD">
      <w:pPr>
        <w:tabs>
          <w:tab w:val="left" w:pos="435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E15FFC" w:rsidRDefault="00E15FFC" w:rsidP="000738DD">
      <w:pPr>
        <w:tabs>
          <w:tab w:val="left" w:pos="435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E15FFC" w:rsidRDefault="00E15FFC" w:rsidP="000738DD">
      <w:pPr>
        <w:tabs>
          <w:tab w:val="left" w:pos="435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738DD" w:rsidRPr="009E1B48" w:rsidRDefault="000738DD" w:rsidP="000738DD">
      <w:pPr>
        <w:tabs>
          <w:tab w:val="left" w:pos="435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9E1B4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:rsidR="000738DD" w:rsidRDefault="000738DD" w:rsidP="000738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>
        <w:rPr>
          <w:rStyle w:val="Strong"/>
          <w:rFonts w:ascii="GHEA Grapalat" w:hAnsi="GHEA Grapalat" w:cs="Arial"/>
          <w:color w:val="000000"/>
          <w:lang w:val="hy-AM"/>
        </w:rPr>
        <w:t>«</w:t>
      </w:r>
      <w:r w:rsidRPr="00FB082C">
        <w:rPr>
          <w:rFonts w:ascii="GHEA Grapalat" w:hAnsi="GHEA Grapalat"/>
          <w:b/>
          <w:bCs/>
          <w:lang w:val="hy-AM"/>
        </w:rPr>
        <w:t xml:space="preserve">ՄԻ ՇԱՐՔ </w:t>
      </w:r>
      <w:r w:rsidRPr="000738DD">
        <w:rPr>
          <w:rFonts w:ascii="GHEA Grapalat" w:hAnsi="GHEA Grapalat"/>
          <w:b/>
          <w:bCs/>
          <w:lang w:val="hy-AM"/>
        </w:rPr>
        <w:t>ՊԵՏԱԿԱՆ ՈՉ ԱՌԵՎՏՐԱՅԻՆ ԿԱԶՄԱԿԵՐՊՈՒԹՅՈՒՆՆԵՐ ՎԵՐԱԿԱԶՄԱԿԵՐՊԵԼՈՒ ՄԱՍԻՆ</w:t>
      </w:r>
      <w:r>
        <w:rPr>
          <w:rFonts w:ascii="GHEA Grapalat" w:hAnsi="GHEA Grapalat" w:cs="Sylfaen"/>
          <w:b/>
          <w:lang w:val="hy-AM"/>
        </w:rPr>
        <w:t>» ՀՀ կառավարության որոշման նախագծի</w:t>
      </w:r>
    </w:p>
    <w:p w:rsidR="000738DD" w:rsidRPr="009E1B48" w:rsidRDefault="000738DD" w:rsidP="000738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0738DD" w:rsidRPr="0000694A" w:rsidRDefault="00862BF4" w:rsidP="000738DD">
      <w:pPr>
        <w:spacing w:after="200" w:line="276" w:lineRule="auto"/>
        <w:ind w:left="502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0738DD" w:rsidRPr="00BB2926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 ակտի ընդունման անհրաժեշտությունը</w:t>
      </w:r>
      <w:r w:rsidR="000738DD" w:rsidRPr="00BB292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0738DD" w:rsidRPr="008E5C90" w:rsidRDefault="000738DD" w:rsidP="000738DD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8E5C90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Նախագծի</w:t>
      </w:r>
      <w:r w:rsidRPr="008E5C90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ընդունման անհարժեշտությունը պայմանավորված է </w:t>
      </w:r>
      <w:r w:rsidRPr="008E5C90">
        <w:rPr>
          <w:rFonts w:ascii="GHEA Grapalat" w:hAnsi="GHEA Grapalat"/>
          <w:color w:val="000000"/>
          <w:sz w:val="24"/>
          <w:szCs w:val="24"/>
          <w:lang w:val="hy-AM"/>
        </w:rPr>
        <w:t xml:space="preserve">«Բանջարաբոստանային և տեխնիկական մշակաբույսերի գիտական կենտրոն», «Երկրագործության գիտական կենտրոն» և «Սննդամթերքի անվտանգության ոլորտի ռիսկերի գնահատման և վերլուծության գիտական կենտրոն» պետական ոչ առևտրային կազմակերպությունների կողմից իրականացվող գիտական </w:t>
      </w:r>
      <w:r w:rsidRPr="008E5C90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գործունեությունը </w:t>
      </w:r>
      <w:r w:rsidRPr="008E5C9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առավել արդյունավետ և համակարգված շարունակելու անհրաժեշտությամբ</w:t>
      </w:r>
      <w:r w:rsidRPr="008E5C90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:</w:t>
      </w:r>
    </w:p>
    <w:p w:rsidR="000738DD" w:rsidRPr="0000694A" w:rsidRDefault="000738DD" w:rsidP="000738DD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0738DD" w:rsidRPr="00432CFF" w:rsidRDefault="00862BF4" w:rsidP="000738DD">
      <w:pPr>
        <w:spacing w:after="200" w:line="276" w:lineRule="auto"/>
        <w:ind w:left="502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</w:t>
      </w:r>
      <w:r w:rsidR="000738DD" w:rsidRPr="00B64AB2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Ընթացիկ</w:t>
      </w:r>
      <w:r w:rsidR="000738DD" w:rsidRPr="00B64AB2">
        <w:rPr>
          <w:rFonts w:ascii="GHEA Grapalat" w:eastAsia="Times New Roman" w:hAnsi="GHEA Grapalat" w:cs="Calibri"/>
          <w:b/>
          <w:bCs/>
          <w:sz w:val="24"/>
          <w:szCs w:val="24"/>
          <w:lang w:val="af-ZA"/>
        </w:rPr>
        <w:t xml:space="preserve"> </w:t>
      </w:r>
      <w:r w:rsidR="000738DD" w:rsidRPr="00B64AB2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իրավիճակը և կարգավորման նպատակը</w:t>
      </w:r>
    </w:p>
    <w:p w:rsidR="00C456CA" w:rsidRDefault="000738DD" w:rsidP="000738DD">
      <w:pPr>
        <w:tabs>
          <w:tab w:val="left" w:pos="90"/>
          <w:tab w:val="left" w:pos="450"/>
          <w:tab w:val="left" w:pos="700"/>
          <w:tab w:val="left" w:pos="10530"/>
        </w:tabs>
        <w:spacing w:after="0" w:line="276" w:lineRule="auto"/>
        <w:ind w:left="142" w:right="180" w:hanging="54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B64AB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B64AB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B64AB2"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 xml:space="preserve">  </w:t>
      </w:r>
      <w:r w:rsidRPr="00432CF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Ներկայումս վերը նշված կազմակերպությունները գործում են որպես </w:t>
      </w:r>
      <w:r w:rsidR="00C456C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պետական ոչ առևտրային կազմակերպություններ</w:t>
      </w:r>
      <w:r w:rsidRPr="00432CF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և ամբողջությամբ ֆինանսավորվում են ՀՀ պ</w:t>
      </w:r>
      <w:r w:rsidR="00C456C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ետական բյուջեի միջոցների հաշվին։</w:t>
      </w:r>
    </w:p>
    <w:p w:rsidR="000738DD" w:rsidRPr="00432CFF" w:rsidRDefault="00C456CA" w:rsidP="000738DD">
      <w:pPr>
        <w:tabs>
          <w:tab w:val="left" w:pos="90"/>
          <w:tab w:val="left" w:pos="450"/>
          <w:tab w:val="left" w:pos="700"/>
          <w:tab w:val="left" w:pos="10530"/>
        </w:tabs>
        <w:spacing w:after="0" w:line="276" w:lineRule="auto"/>
        <w:ind w:left="142" w:right="180" w:hanging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ab/>
        <w:t xml:space="preserve">       Վերակազմակերպման արդյունքում վերջիններս հանդես կգան որպես ինքնուրույն իրավաբանական անձի կարգավիճակ ունեցող բաժնետիրական ընկերություններ, ինչը հնարավորություն կտա դրանց հետագա գործունեությունը ապահովել </w:t>
      </w:r>
      <w:r w:rsidRPr="001018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«Հայաստանի ազգային ագրարային համալսարան» հիմնադրամի</w:t>
      </w:r>
      <w:r w:rsidR="000738DD" w:rsidRPr="00432CF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կառավարման համակարգում, շարունակելով՝ գիտական գործունեությունը առանց պետական բյուջեի ֆինանսավորման։</w:t>
      </w:r>
      <w:r w:rsidR="000738DD" w:rsidRPr="00432CF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:rsidR="000738DD" w:rsidRPr="0000694A" w:rsidRDefault="000738DD" w:rsidP="000738DD">
      <w:pPr>
        <w:tabs>
          <w:tab w:val="left" w:pos="90"/>
          <w:tab w:val="left" w:pos="450"/>
          <w:tab w:val="left" w:pos="700"/>
          <w:tab w:val="left" w:pos="10530"/>
        </w:tabs>
        <w:spacing w:after="0" w:line="276" w:lineRule="auto"/>
        <w:ind w:right="18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38DD" w:rsidRPr="00432CFF" w:rsidRDefault="000738DD" w:rsidP="000738DD">
      <w:pPr>
        <w:tabs>
          <w:tab w:val="left" w:pos="90"/>
          <w:tab w:val="left" w:pos="450"/>
          <w:tab w:val="left" w:pos="700"/>
          <w:tab w:val="left" w:pos="10530"/>
        </w:tabs>
        <w:spacing w:after="0" w:line="276" w:lineRule="auto"/>
        <w:ind w:left="142" w:right="180" w:hanging="54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FF0000"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Sylfaen"/>
          <w:color w:val="FF0000"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Sylfaen"/>
          <w:color w:val="FF0000"/>
          <w:sz w:val="24"/>
          <w:szCs w:val="24"/>
          <w:lang w:val="af-ZA" w:eastAsia="ru-RU"/>
        </w:rPr>
        <w:tab/>
      </w:r>
      <w:r w:rsidR="00862BF4"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 xml:space="preserve"> </w:t>
      </w:r>
      <w:r w:rsidRPr="00C456CA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F86AB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456CA"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 w:rsidRPr="00F86ABF">
        <w:rPr>
          <w:rFonts w:ascii="GHEA Grapalat" w:eastAsia="Times New Roman" w:hAnsi="GHEA Grapalat" w:cs="Sylfaen"/>
          <w:b/>
          <w:sz w:val="24"/>
          <w:szCs w:val="24"/>
          <w:lang w:val="af-ZA"/>
        </w:rPr>
        <w:t>.</w:t>
      </w:r>
    </w:p>
    <w:p w:rsidR="000738DD" w:rsidRPr="008E647F" w:rsidRDefault="000738DD" w:rsidP="008E647F">
      <w:pPr>
        <w:spacing w:after="0" w:line="276" w:lineRule="auto"/>
        <w:ind w:left="72" w:right="27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E647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   </w:t>
      </w:r>
      <w:r w:rsidRPr="008E647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 Նախագծի</w:t>
      </w:r>
      <w:r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ընդունման դեպքում</w:t>
      </w:r>
      <w:r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r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կազմակերպությունները կվերակազմակերպվեն</w:t>
      </w:r>
      <w:r w:rsidR="008431BB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բաժնետիրական ընկերությունների</w:t>
      </w:r>
      <w:r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C456CA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և դրանց բաժնետոմսերը կնվիրաբերվեն </w:t>
      </w:r>
      <w:r w:rsidR="00C456CA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«Հայաստանի ազգային ագրարային համալսարան» հիմնադրամին</w:t>
      </w:r>
      <w:r w:rsid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C456CA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ապահովելով </w:t>
      </w:r>
      <w:r w:rsidR="008E647F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առավել ար</w:t>
      </w:r>
      <w:r w:rsidR="00C456CA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դյունավետ </w:t>
      </w:r>
      <w:r w:rsid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ուղղորդված </w:t>
      </w:r>
      <w:r w:rsidR="008E647F" w:rsidRP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գիտական գործունեո</w:t>
      </w:r>
      <w:r w:rsidR="008E647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ւթյուն։</w:t>
      </w:r>
    </w:p>
    <w:p w:rsidR="000738DD" w:rsidRPr="008431BB" w:rsidRDefault="000738DD" w:rsidP="000738DD">
      <w:pPr>
        <w:spacing w:after="0" w:line="276" w:lineRule="auto"/>
        <w:ind w:left="72" w:right="27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0738DD" w:rsidRDefault="000738DD" w:rsidP="000738DD">
      <w:pPr>
        <w:spacing w:after="0" w:line="276" w:lineRule="auto"/>
        <w:ind w:left="72" w:righ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738DD" w:rsidRDefault="000738DD" w:rsidP="000738DD">
      <w:pPr>
        <w:spacing w:after="0" w:line="276" w:lineRule="auto"/>
        <w:ind w:left="72" w:righ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738DD" w:rsidRDefault="000738DD" w:rsidP="000738DD">
      <w:pPr>
        <w:spacing w:after="0" w:line="276" w:lineRule="auto"/>
        <w:ind w:left="72" w:righ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738DD" w:rsidRDefault="000738DD" w:rsidP="000738DD">
      <w:pPr>
        <w:tabs>
          <w:tab w:val="left" w:pos="720"/>
          <w:tab w:val="center" w:pos="4677"/>
          <w:tab w:val="right" w:pos="9355"/>
        </w:tabs>
        <w:spacing w:after="0" w:line="276" w:lineRule="auto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0738DD" w:rsidRDefault="000738DD" w:rsidP="000738DD">
      <w:pPr>
        <w:tabs>
          <w:tab w:val="left" w:pos="720"/>
          <w:tab w:val="center" w:pos="4677"/>
          <w:tab w:val="right" w:pos="9355"/>
        </w:tabs>
        <w:spacing w:after="0" w:line="276" w:lineRule="auto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0738DD" w:rsidRDefault="000738DD" w:rsidP="000738DD">
      <w:pPr>
        <w:tabs>
          <w:tab w:val="left" w:pos="720"/>
          <w:tab w:val="center" w:pos="4677"/>
          <w:tab w:val="right" w:pos="9355"/>
        </w:tabs>
        <w:spacing w:after="0" w:line="276" w:lineRule="auto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0738DD" w:rsidRPr="00F86ABF" w:rsidRDefault="000738DD" w:rsidP="000738DD">
      <w:pPr>
        <w:tabs>
          <w:tab w:val="left" w:pos="720"/>
          <w:tab w:val="center" w:pos="4677"/>
          <w:tab w:val="right" w:pos="9355"/>
        </w:tabs>
        <w:spacing w:after="0" w:line="276" w:lineRule="auto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0738DD" w:rsidRPr="00C93135" w:rsidRDefault="000738DD" w:rsidP="000738DD">
      <w:pPr>
        <w:tabs>
          <w:tab w:val="center" w:pos="5387"/>
          <w:tab w:val="left" w:pos="9078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64AB2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ՏԵՂԵԿԱՆՔ</w:t>
      </w:r>
    </w:p>
    <w:p w:rsidR="000738DD" w:rsidRPr="00A24E21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</w:pPr>
      <w:r>
        <w:rPr>
          <w:rStyle w:val="Strong"/>
          <w:rFonts w:ascii="GHEA Grapalat" w:hAnsi="GHEA Grapalat" w:cs="Arial"/>
          <w:color w:val="000000"/>
          <w:lang w:val="hy-AM"/>
        </w:rPr>
        <w:t>«</w:t>
      </w:r>
      <w:r w:rsidRPr="00FB08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ՄԻ ՇԱՐՔ </w:t>
      </w:r>
      <w:r w:rsidRPr="000738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ՈՉ ԱՌԵՎՏՐԱՅԻՆ ԿԱԶՄԱԿԵՐՊՈՒԹՅՈՒՆՆԵՐ ՎԵՐԱԿԱԶՄԱԿԵՐՊԵԼՈՒ ՄԱՍԻՆ</w:t>
      </w:r>
      <w:r>
        <w:rPr>
          <w:rFonts w:ascii="GHEA Grapalat" w:hAnsi="GHEA Grapalat" w:cs="Sylfaen"/>
          <w:b/>
          <w:lang w:val="hy-AM"/>
        </w:rPr>
        <w:t xml:space="preserve">»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Հայաստանի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Հանրապետության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կառավարության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որոշման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նախագծի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ընդունման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կապակցությամբ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այլ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իրավական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ակտերում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փոփոխություններ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և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լրացումներ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կատարելու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անհրաժեշտության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կամ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բացակայության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մասին</w:t>
      </w:r>
    </w:p>
    <w:p w:rsidR="000738DD" w:rsidRPr="00B64AB2" w:rsidRDefault="000738DD" w:rsidP="000738D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738DD" w:rsidRPr="0000694A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</w:pPr>
    </w:p>
    <w:p w:rsidR="000738DD" w:rsidRPr="00B6193E" w:rsidRDefault="000738DD" w:rsidP="000738DD">
      <w:pPr>
        <w:pStyle w:val="BodyText3"/>
        <w:spacing w:after="0" w:line="276" w:lineRule="auto"/>
        <w:ind w:left="-360" w:right="-540"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Հայաստանի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Հանրապետության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կառավարության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որոշման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նախագծի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ընդունման</w:t>
      </w:r>
      <w:r w:rsidRPr="00AB2CBF">
        <w:rPr>
          <w:rFonts w:ascii="GHEA Grapalat" w:eastAsia="Times New Roman" w:hAnsi="GHEA Grapalat" w:cs="Sylfaen"/>
          <w:noProof/>
          <w:sz w:val="20"/>
          <w:szCs w:val="20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կապակցությամբ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անհրաժեշտություն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չի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առաջացնում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այլ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իրավական</w:t>
      </w:r>
      <w:r w:rsidRPr="00B619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6193E">
        <w:rPr>
          <w:rFonts w:ascii="GHEA Grapalat" w:hAnsi="GHEA Grapalat"/>
          <w:bCs/>
          <w:sz w:val="24"/>
          <w:szCs w:val="24"/>
        </w:rPr>
        <w:t>ակտերում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փոփոխություն կատարելու</w:t>
      </w:r>
      <w:r>
        <w:rPr>
          <w:rFonts w:ascii="GHEA Grapalat" w:hAnsi="GHEA Grapalat"/>
          <w:bCs/>
          <w:sz w:val="24"/>
          <w:szCs w:val="24"/>
          <w:lang w:val="af-ZA"/>
        </w:rPr>
        <w:t>։</w:t>
      </w:r>
    </w:p>
    <w:p w:rsidR="000738DD" w:rsidRPr="005E6530" w:rsidRDefault="000738DD" w:rsidP="000738DD">
      <w:pPr>
        <w:spacing w:after="0" w:line="276" w:lineRule="auto"/>
        <w:jc w:val="both"/>
        <w:rPr>
          <w:rFonts w:ascii="GHEA Grapalat" w:eastAsia="Times New Roman" w:hAnsi="GHEA Grapalat" w:cs="Sylfaen"/>
          <w:noProof/>
          <w:sz w:val="24"/>
          <w:szCs w:val="24"/>
          <w:lang w:val="af-ZA" w:eastAsia="ru-RU"/>
        </w:rPr>
      </w:pPr>
    </w:p>
    <w:p w:rsidR="000738DD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noProof/>
          <w:color w:val="FF0000"/>
          <w:sz w:val="24"/>
          <w:szCs w:val="24"/>
          <w:lang w:val="pt-BR" w:eastAsia="ru-RU"/>
        </w:rPr>
      </w:pPr>
    </w:p>
    <w:p w:rsidR="000738DD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B2CB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ՏԵՂԵԿԱՆՔ</w:t>
      </w:r>
    </w:p>
    <w:p w:rsidR="000738DD" w:rsidRPr="0000694A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738DD" w:rsidRPr="00AB2CBF" w:rsidRDefault="000738DD" w:rsidP="000738DD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</w:pPr>
      <w:r>
        <w:rPr>
          <w:rStyle w:val="Strong"/>
          <w:rFonts w:ascii="GHEA Grapalat" w:hAnsi="GHEA Grapalat" w:cs="Arial"/>
          <w:color w:val="000000"/>
          <w:lang w:val="hy-AM"/>
        </w:rPr>
        <w:t>«</w:t>
      </w:r>
      <w:r w:rsidRPr="00FB08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ՄԻ ՇԱՐՔ </w:t>
      </w:r>
      <w:r w:rsidRPr="000738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ՈՉ ԱՌԵՎՏՐԱՅԻՆ ԿԱԶՄԱԿԵՐՊՈՒԹՅՈՒՆՆԵՐ ՎԵՐԱԿԱԶՄԱԿԵՐՊԵԼՈՒ ՄԱՍԻՆ</w:t>
      </w:r>
      <w:r>
        <w:rPr>
          <w:rFonts w:ascii="GHEA Grapalat" w:hAnsi="GHEA Grapalat" w:cs="Sylfaen"/>
          <w:b/>
          <w:lang w:val="hy-AM"/>
        </w:rPr>
        <w:t xml:space="preserve">»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Հայաստանի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Հանրապետության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կառավարության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որոշման</w:t>
      </w:r>
      <w:r w:rsidRPr="00A24E21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Pr="00A24E21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A24E2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0738DD" w:rsidRPr="00AB2CBF" w:rsidRDefault="000738DD" w:rsidP="000738DD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</w:p>
    <w:p w:rsidR="000738DD" w:rsidRPr="00AB2CBF" w:rsidRDefault="000738DD" w:rsidP="000738DD">
      <w:pPr>
        <w:tabs>
          <w:tab w:val="left" w:pos="3532"/>
        </w:tabs>
        <w:spacing w:after="0" w:line="276" w:lineRule="auto"/>
        <w:ind w:left="-270" w:right="-540"/>
        <w:jc w:val="both"/>
        <w:rPr>
          <w:rStyle w:val="Strong"/>
          <w:rFonts w:ascii="GHEA Grapalat" w:eastAsia="Times New Roman" w:hAnsi="GHEA Grapalat" w:cs="Sylfaen"/>
          <w:b w:val="0"/>
          <w:bCs w:val="0"/>
          <w:noProof/>
          <w:sz w:val="24"/>
          <w:szCs w:val="24"/>
          <w:lang w:val="pt-BR" w:eastAsia="ru-RU"/>
        </w:rPr>
      </w:pPr>
      <w:r w:rsidRPr="00715A72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     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Հայաստանի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Հանրապետության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կառավարության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որոշման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նախագծի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ընդունման</w:t>
      </w:r>
      <w:r w:rsidRPr="00AB2CBF">
        <w:rPr>
          <w:rFonts w:ascii="GHEA Grapalat" w:eastAsia="Times New Roman" w:hAnsi="GHEA Grapalat" w:cs="Sylfaen"/>
          <w:noProof/>
          <w:sz w:val="20"/>
          <w:szCs w:val="20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կապակցությամբ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պետական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կամ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տեղական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ինքնակառավարման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մարմնի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բյուջեում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ծախսերի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և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եկամուտների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էական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ավելացում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կամ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նվազեցում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չի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Pr="00AB2CBF">
        <w:rPr>
          <w:rFonts w:ascii="GHEA Grapalat" w:eastAsia="Times New Roman" w:hAnsi="GHEA Grapalat" w:cs="Sylfaen"/>
          <w:noProof/>
          <w:sz w:val="24"/>
          <w:szCs w:val="24"/>
          <w:lang w:val="en-GB" w:eastAsia="ru-RU"/>
        </w:rPr>
        <w:t>սպասվում</w:t>
      </w:r>
      <w:r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>:</w:t>
      </w:r>
    </w:p>
    <w:p w:rsidR="000738DD" w:rsidRPr="000738DD" w:rsidRDefault="000738DD" w:rsidP="00727630">
      <w:pPr>
        <w:shd w:val="clear" w:color="auto" w:fill="FFFFFF"/>
        <w:spacing w:after="0" w:line="240" w:lineRule="auto"/>
        <w:ind w:right="-270" w:firstLine="375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sectPr w:rsidR="000738DD" w:rsidRPr="000738DD" w:rsidSect="00E15FF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EC"/>
    <w:rsid w:val="00057B2F"/>
    <w:rsid w:val="000738DD"/>
    <w:rsid w:val="00101876"/>
    <w:rsid w:val="00120AEC"/>
    <w:rsid w:val="001439A2"/>
    <w:rsid w:val="001A243B"/>
    <w:rsid w:val="00211D86"/>
    <w:rsid w:val="00275C3D"/>
    <w:rsid w:val="002D4323"/>
    <w:rsid w:val="003D2000"/>
    <w:rsid w:val="00454C31"/>
    <w:rsid w:val="004C619A"/>
    <w:rsid w:val="004F4A32"/>
    <w:rsid w:val="005066B8"/>
    <w:rsid w:val="00552927"/>
    <w:rsid w:val="00611140"/>
    <w:rsid w:val="006E1B40"/>
    <w:rsid w:val="006F3460"/>
    <w:rsid w:val="00716A64"/>
    <w:rsid w:val="00720F35"/>
    <w:rsid w:val="00727630"/>
    <w:rsid w:val="00741D7E"/>
    <w:rsid w:val="00761460"/>
    <w:rsid w:val="0078763A"/>
    <w:rsid w:val="008431BB"/>
    <w:rsid w:val="00862BF4"/>
    <w:rsid w:val="00893775"/>
    <w:rsid w:val="008C6109"/>
    <w:rsid w:val="008E647F"/>
    <w:rsid w:val="009232A7"/>
    <w:rsid w:val="009B55BC"/>
    <w:rsid w:val="009C057B"/>
    <w:rsid w:val="009E4219"/>
    <w:rsid w:val="00A2307C"/>
    <w:rsid w:val="00A45C68"/>
    <w:rsid w:val="00B16287"/>
    <w:rsid w:val="00BA162A"/>
    <w:rsid w:val="00C456CA"/>
    <w:rsid w:val="00D34110"/>
    <w:rsid w:val="00D37487"/>
    <w:rsid w:val="00E15FFC"/>
    <w:rsid w:val="00E203A1"/>
    <w:rsid w:val="00E50036"/>
    <w:rsid w:val="00EB1DFA"/>
    <w:rsid w:val="00EB4F47"/>
    <w:rsid w:val="00EB6845"/>
    <w:rsid w:val="00EC3F7C"/>
    <w:rsid w:val="00FB082C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1638"/>
  <w15:chartTrackingRefBased/>
  <w15:docId w15:val="{D7188668-DD3A-4484-A8BA-BE9A8B5A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A32"/>
    <w:rPr>
      <w:b/>
      <w:bCs/>
    </w:rPr>
  </w:style>
  <w:style w:type="character" w:styleId="Emphasis">
    <w:name w:val="Emphasis"/>
    <w:basedOn w:val="DefaultParagraphFont"/>
    <w:uiPriority w:val="20"/>
    <w:qFormat/>
    <w:rsid w:val="004F4A32"/>
    <w:rPr>
      <w:i/>
      <w:iCs/>
    </w:rPr>
  </w:style>
  <w:style w:type="paragraph" w:styleId="ListParagraph">
    <w:name w:val="List Paragraph"/>
    <w:basedOn w:val="Normal"/>
    <w:uiPriority w:val="34"/>
    <w:qFormat/>
    <w:rsid w:val="008C6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87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0738DD"/>
    <w:pPr>
      <w:spacing w:after="120" w:line="240" w:lineRule="auto"/>
    </w:pPr>
    <w:rPr>
      <w:rFonts w:ascii="Times Armenian" w:hAnsi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38DD"/>
    <w:rPr>
      <w:rFonts w:ascii="Times Armenian" w:hAnsi="Times Armeni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https://mul-agri.gov.am/tasks/docs/attachment.php?id=131519&amp;fn=bajnetirakanstexcelu.docx&amp;out=1&amp;token=</cp:keywords>
  <cp:lastModifiedBy>Liana Grigoryan</cp:lastModifiedBy>
  <cp:revision>11</cp:revision>
  <dcterms:created xsi:type="dcterms:W3CDTF">2019-04-02T11:15:00Z</dcterms:created>
  <dcterms:modified xsi:type="dcterms:W3CDTF">2019-04-03T15:56:00Z</dcterms:modified>
</cp:coreProperties>
</file>