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0FE" w:rsidRPr="0024664B" w:rsidRDefault="003010FE" w:rsidP="003010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ԱՄՓՈՓԱԹԵՐԹ</w:t>
      </w:r>
    </w:p>
    <w:p w:rsidR="00FE59BF" w:rsidRPr="008F5A97" w:rsidRDefault="00FE59BF" w:rsidP="00FE59B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color w:val="000000"/>
          <w:lang w:val="hy-AM"/>
        </w:rPr>
      </w:pPr>
      <w:r w:rsidRPr="00C86930">
        <w:rPr>
          <w:rFonts w:ascii="GHEA Grapalat" w:hAnsi="GHEA Grapalat"/>
          <w:b/>
          <w:color w:val="000000"/>
          <w:lang w:val="hy-AM"/>
        </w:rPr>
        <w:t>«ԼԻՑԵՆԶԱՎՈՐՄԱՆ ՄԱՍԻՆ»</w:t>
      </w:r>
      <w:r w:rsidRPr="00C86930">
        <w:rPr>
          <w:rFonts w:ascii="GHEA Grapalat" w:hAnsi="GHEA Grapalat"/>
          <w:color w:val="000000"/>
          <w:lang w:val="hy-AM"/>
        </w:rPr>
        <w:t xml:space="preserve"> </w:t>
      </w:r>
      <w:r w:rsidRPr="00C86930">
        <w:rPr>
          <w:rFonts w:ascii="GHEA Grapalat" w:hAnsi="GHEA Grapalat" w:cs="Arial Unicode"/>
          <w:b/>
          <w:bCs/>
          <w:color w:val="000000"/>
          <w:lang w:val="hy-AM"/>
        </w:rPr>
        <w:t>ՀԱՅԱՍՏԱՆԻ</w:t>
      </w:r>
      <w:r w:rsidRPr="00C86930">
        <w:rPr>
          <w:rFonts w:ascii="Calibri" w:hAnsi="Calibri" w:cs="Calibri"/>
          <w:b/>
          <w:bCs/>
          <w:color w:val="000000"/>
          <w:lang w:val="hy-AM"/>
        </w:rPr>
        <w:t> </w:t>
      </w:r>
      <w:r w:rsidRPr="00C86930">
        <w:rPr>
          <w:rFonts w:ascii="GHEA Grapalat" w:hAnsi="GHEA Grapalat" w:cs="Arial Unicode"/>
          <w:b/>
          <w:bCs/>
          <w:color w:val="000000"/>
          <w:lang w:val="hy-AM"/>
        </w:rPr>
        <w:t>ՀԱՆՐԱՊԵՏՈՒԹՅԱՆ</w:t>
      </w:r>
      <w:r w:rsidRPr="00C86930">
        <w:rPr>
          <w:rFonts w:ascii="Calibri" w:hAnsi="Calibri" w:cs="Calibri"/>
          <w:b/>
          <w:bCs/>
          <w:color w:val="000000"/>
          <w:lang w:val="hy-AM"/>
        </w:rPr>
        <w:t> </w:t>
      </w:r>
      <w:r w:rsidRPr="00C86930">
        <w:rPr>
          <w:rFonts w:ascii="GHEA Grapalat" w:hAnsi="GHEA Grapalat" w:cs="Arial Unicode"/>
          <w:b/>
          <w:bCs/>
          <w:color w:val="000000"/>
          <w:lang w:val="hy-AM"/>
        </w:rPr>
        <w:t>ՕՐԵՆՔՈՒՄ ՓՈՓՈԽՈՒԹՅՈՒՆ</w:t>
      </w:r>
      <w:r w:rsidRPr="00C86930">
        <w:rPr>
          <w:rFonts w:ascii="Calibri" w:hAnsi="Calibri" w:cs="Calibri"/>
          <w:b/>
          <w:bCs/>
          <w:color w:val="000000"/>
          <w:lang w:val="hy-AM"/>
        </w:rPr>
        <w:t> </w:t>
      </w:r>
      <w:r w:rsidRPr="00C86930">
        <w:rPr>
          <w:rFonts w:ascii="GHEA Grapalat" w:hAnsi="GHEA Grapalat" w:cs="Arial Unicode"/>
          <w:b/>
          <w:bCs/>
          <w:color w:val="000000"/>
          <w:lang w:val="hy-AM"/>
        </w:rPr>
        <w:t>ԿԱՏԱՐԵԼՈՒ</w:t>
      </w:r>
      <w:r w:rsidRPr="00C86930">
        <w:rPr>
          <w:rFonts w:ascii="Calibri" w:hAnsi="Calibri" w:cs="Calibri"/>
          <w:b/>
          <w:bCs/>
          <w:color w:val="000000"/>
          <w:lang w:val="hy-AM"/>
        </w:rPr>
        <w:t> </w:t>
      </w:r>
      <w:r w:rsidRPr="00C86930">
        <w:rPr>
          <w:rFonts w:ascii="GHEA Grapalat" w:hAnsi="GHEA Grapalat" w:cs="Arial Unicode"/>
          <w:b/>
          <w:bCs/>
          <w:color w:val="000000"/>
          <w:lang w:val="hy-AM"/>
        </w:rPr>
        <w:t>ՄԱՍԻՆ, «</w:t>
      </w:r>
      <w:r w:rsidRPr="00C86930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ՊԵՏԱԿԱՆ ՏՈՒՐՔԻ ՄԱՍԻՆ» ՀԱՅԱՍՏԱՆԻ ՀԱՆՐԱՊԵՏՈՒԹՅԱՆ ՕՐԵՆՔՈՒՄ ՓՈՓՈԽՈՒԹՅՈՒՆ ԿԱՏԱՐԵԼՈՒ ՄԱՍԻՆ» </w:t>
      </w:r>
      <w:r w:rsidRPr="00C86930">
        <w:rPr>
          <w:rFonts w:ascii="GHEA Grapalat" w:eastAsia="Calibri" w:hAnsi="GHEA Grapalat"/>
          <w:b/>
          <w:color w:val="000000"/>
          <w:lang w:val="hy-AM"/>
        </w:rPr>
        <w:t xml:space="preserve">ՀՀ ՕՐԵՆՔԻ, </w:t>
      </w:r>
      <w:r w:rsidRPr="00C86930">
        <w:rPr>
          <w:rFonts w:ascii="GHEA Grapalat" w:hAnsi="GHEA Grapalat"/>
          <w:b/>
          <w:bCs/>
          <w:color w:val="000000"/>
          <w:lang w:val="hy-AM"/>
        </w:rPr>
        <w:t>«ԱՐԺՈՒԹԱՅԻՆ ԿԱՐԳԱՎՈՐՄԱՆ ԵՎ ԱՐԺՈՒԹԱՅԻՆ ՎԵՐԱՀՍԿՈՂՈՒԹՅԱՆ ՄԱՍԻՆ» ՀԱՅԱՍՏԱՆԻ ՀԱՆՐԱՊԵՏՈՒԹՅԱՆ ՕՐԵՆՔՈՒՄ ՓՈՓՈԽՈՒԹՅՈՒՆՆԵՐ ԿԱՏԱՐԵԼՈՒ ՄԱՍԻՆ, «ԱՐԺԵԹՂԹԵՐԻ ՇՈՒԿԱՅԻ ՄԱՍԻՆ» ՀԱՅԱՍՏԱՆԻ ՀԱՆՐԱՊԵՏՈՒԹՅԱՆ ՕՐԵՆՔՈՒՄ ՓՈՓՈԽՈՒԹՅՈՒՆ ԿԱՏԱՐԵԼՈՒ ՄԱՍԻՆ, &lt;&lt;ՎՃԱՐԱՀԱՇՎԱՐԿԱՅԻՆ ՀԱՄԱԿԱՐԳԵՐԻ ԵՎ ՎՃԱՐԱՀԱՇՎԱՐԿԱՅԻՆ ԿԱԶՄԱԿԵՐՊՈՒԹՅՈՒՆՆԵՐԻ ՄԱՍԻՆ</w:t>
      </w:r>
      <w:r w:rsidR="00A10DCD" w:rsidRPr="00A10DCD">
        <w:rPr>
          <w:rFonts w:ascii="GHEA Grapalat" w:hAnsi="GHEA Grapalat"/>
          <w:b/>
          <w:color w:val="000000"/>
          <w:lang w:val="hy-AM"/>
        </w:rPr>
        <w:t xml:space="preserve"> </w:t>
      </w:r>
      <w:r w:rsidR="00A10DCD" w:rsidRPr="00C86930">
        <w:rPr>
          <w:rFonts w:ascii="GHEA Grapalat" w:hAnsi="GHEA Grapalat"/>
          <w:b/>
          <w:color w:val="000000"/>
          <w:lang w:val="hy-AM"/>
        </w:rPr>
        <w:t>ՕՐԵՆՔՈՒՄ ՓՈՓՈԽՈՒԹՅՈՒՆ ԿԱՏԱՐԵԼՈՒ ՄԱՍԻՆ</w:t>
      </w:r>
      <w:r w:rsidR="00A10DCD">
        <w:rPr>
          <w:rFonts w:ascii="GHEA Grapalat" w:hAnsi="GHEA Grapalat"/>
          <w:b/>
          <w:bCs/>
          <w:color w:val="000000"/>
          <w:lang w:val="hy-AM"/>
        </w:rPr>
        <w:t xml:space="preserve">», </w:t>
      </w:r>
      <w:r w:rsidRPr="00C86930">
        <w:rPr>
          <w:rFonts w:ascii="GHEA Grapalat" w:hAnsi="GHEA Grapalat"/>
          <w:b/>
          <w:bCs/>
          <w:color w:val="000000"/>
          <w:lang w:val="hy-AM"/>
        </w:rPr>
        <w:t xml:space="preserve">&lt;&lt;ՀՀ ՀԱՐԿԱՅԻՆ ՕՐԵՆՍԳՐՔՈՒՄ ՓՈՓՈԽՈՒԹՅՈՒՆՆԵՐ ԿԱՏԱՐԵԼՈՒ ՄԱՍԻՆ&gt;&gt;, </w:t>
      </w:r>
      <w:r w:rsidRPr="00C86930">
        <w:rPr>
          <w:rFonts w:ascii="GHEA Grapalat" w:hAnsi="GHEA Grapalat"/>
          <w:b/>
          <w:color w:val="000000"/>
          <w:lang w:val="hy-AM"/>
        </w:rPr>
        <w:t>&lt;&lt;ՀԱՅԱՍՏԱՆԻ ՀԱՆՐԱՊԵՏՈՒԹՅԱՆ ԿԵՆՏՐՈՆԱԿԱՆ ԲԱՆԿԻ ՄԱՍԻՆ</w:t>
      </w:r>
      <w:r>
        <w:rPr>
          <w:b/>
          <w:color w:val="000000"/>
          <w:lang w:val="hy-AM"/>
        </w:rPr>
        <w:t xml:space="preserve"> </w:t>
      </w:r>
      <w:r>
        <w:rPr>
          <w:rFonts w:ascii="GHEA Grapalat" w:hAnsi="GHEA Grapalat"/>
          <w:b/>
          <w:color w:val="000000"/>
          <w:lang w:val="hy-AM"/>
        </w:rPr>
        <w:t>ՕՐԵՆՔՈՒՄ ՓՈՓՈԽՈՒԹՅՈՒՆ ԿԱՏԱՐԵԼՈՒ ՄԱՍԻՆ</w:t>
      </w:r>
      <w:r w:rsidRPr="00C86930">
        <w:rPr>
          <w:rFonts w:ascii="GHEA Grapalat" w:hAnsi="GHEA Grapalat"/>
          <w:b/>
          <w:color w:val="000000"/>
          <w:lang w:val="hy-AM"/>
        </w:rPr>
        <w:t xml:space="preserve">&gt;&gt;, </w:t>
      </w:r>
      <w:r w:rsidRPr="00C86930">
        <w:rPr>
          <w:rFonts w:ascii="GHEA Grapalat" w:hAnsi="GHEA Grapalat"/>
          <w:b/>
          <w:bCs/>
          <w:color w:val="000000"/>
          <w:lang w:val="hy-AM"/>
        </w:rPr>
        <w:t>&lt;&lt;ՓՈՂԵՐԻ ԼՎԱՑՄԱՆ ԵՎ ԱՀԱԲԵԿՉՈՒԹՅԱՆ ՖԻՆԱՆՍԱՎՈՐՄԱՆ ԴԵՄ ՊԱՅՔԱՐԻ ՄԱՍԻՆ» ՀԱՅԱՍՏԱՆԻ ՀԱՆՐԱՊԵՏՈՒԹՅԱՆ ՕՐԵՆՔՈՒՄ ՓՈՓՈԽՈՒԹՅՈՒՆ ԿԱՏԱՐԵԼՈՒ ՄԱՍԻՆ</w:t>
      </w:r>
      <w:r w:rsidRPr="00C86930">
        <w:rPr>
          <w:color w:val="000000"/>
          <w:lang w:val="hy-AM"/>
        </w:rPr>
        <w:t xml:space="preserve"> </w:t>
      </w:r>
      <w:bookmarkStart w:id="0" w:name="_GoBack"/>
      <w:r w:rsidR="00A10DCD" w:rsidRPr="00A10DCD">
        <w:rPr>
          <w:rFonts w:ascii="GHEA Grapalat" w:hAnsi="GHEA Grapalat"/>
          <w:b/>
          <w:color w:val="000000"/>
          <w:lang w:val="hy-AM"/>
        </w:rPr>
        <w:t>ՀՀ ՕՐԵՆՔՆԵՐԻ</w:t>
      </w:r>
      <w:r w:rsidR="00A10DCD">
        <w:rPr>
          <w:rFonts w:ascii="GHEA Grapalat" w:hAnsi="GHEA Grapalat"/>
          <w:color w:val="000000"/>
          <w:lang w:val="hy-AM"/>
        </w:rPr>
        <w:t xml:space="preserve"> </w:t>
      </w:r>
      <w:bookmarkEnd w:id="0"/>
      <w:r w:rsidRPr="008F5A97">
        <w:rPr>
          <w:rFonts w:ascii="GHEA Grapalat" w:eastAsia="Calibri" w:hAnsi="GHEA Grapalat"/>
          <w:b/>
          <w:color w:val="000000"/>
          <w:lang w:val="hy-AM"/>
        </w:rPr>
        <w:t>ՆԱԽԱԳԾԵՐԻ ԸՆԴՈՒՆՄԱՆ</w:t>
      </w:r>
    </w:p>
    <w:p w:rsidR="003010FE" w:rsidRPr="0016764D" w:rsidRDefault="003010FE" w:rsidP="003010FE">
      <w:pPr>
        <w:spacing w:after="0" w:line="240" w:lineRule="auto"/>
        <w:jc w:val="center"/>
        <w:rPr>
          <w:b/>
          <w:sz w:val="24"/>
          <w:szCs w:val="24"/>
          <w:lang w:val="af-ZA"/>
        </w:rPr>
      </w:pPr>
    </w:p>
    <w:tbl>
      <w:tblPr>
        <w:tblStyle w:val="TableGrid"/>
        <w:tblW w:w="0" w:type="auto"/>
        <w:tblInd w:w="-162" w:type="dxa"/>
        <w:tblLayout w:type="fixed"/>
        <w:tblLook w:val="04A0" w:firstRow="1" w:lastRow="0" w:firstColumn="1" w:lastColumn="0" w:noHBand="0" w:noVBand="1"/>
      </w:tblPr>
      <w:tblGrid>
        <w:gridCol w:w="441"/>
        <w:gridCol w:w="2268"/>
        <w:gridCol w:w="4394"/>
        <w:gridCol w:w="2409"/>
      </w:tblGrid>
      <w:tr w:rsidR="003010FE" w:rsidRPr="00BC0629" w:rsidTr="002D7D25">
        <w:tc>
          <w:tcPr>
            <w:tcW w:w="441" w:type="dxa"/>
            <w:tcBorders>
              <w:bottom w:val="single" w:sz="4" w:space="0" w:color="auto"/>
            </w:tcBorders>
          </w:tcPr>
          <w:p w:rsidR="003010FE" w:rsidRDefault="003010FE" w:rsidP="006C52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010FE" w:rsidRPr="00BC0629" w:rsidRDefault="003010FE" w:rsidP="006C5252">
            <w:pPr>
              <w:rPr>
                <w:rFonts w:cs="Sylfaen"/>
                <w:b/>
                <w:sz w:val="24"/>
                <w:szCs w:val="24"/>
                <w:lang w:val="fr-CA"/>
              </w:rPr>
            </w:pPr>
            <w:proofErr w:type="spellStart"/>
            <w:r w:rsidRPr="00BC0629">
              <w:rPr>
                <w:rFonts w:cs="Sylfaen"/>
                <w:b/>
                <w:sz w:val="24"/>
                <w:szCs w:val="24"/>
              </w:rPr>
              <w:t>Առաջարկության</w:t>
            </w:r>
            <w:proofErr w:type="spellEnd"/>
            <w:r w:rsidRPr="00BC062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C0629">
              <w:rPr>
                <w:rFonts w:cs="Sylfaen"/>
                <w:b/>
                <w:sz w:val="24"/>
                <w:szCs w:val="24"/>
              </w:rPr>
              <w:t>հեղինակ</w:t>
            </w:r>
            <w:proofErr w:type="spellEnd"/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3010FE" w:rsidRPr="00BC0629" w:rsidRDefault="003010FE" w:rsidP="006C5252">
            <w:pPr>
              <w:rPr>
                <w:rFonts w:cs="Sylfaen"/>
                <w:b/>
                <w:sz w:val="24"/>
                <w:szCs w:val="24"/>
                <w:lang w:val="fr-CA"/>
              </w:rPr>
            </w:pPr>
            <w:proofErr w:type="spellStart"/>
            <w:r w:rsidRPr="00BC0629">
              <w:rPr>
                <w:rFonts w:cs="Sylfaen"/>
                <w:b/>
                <w:sz w:val="24"/>
                <w:szCs w:val="24"/>
              </w:rPr>
              <w:t>Առաջարկության</w:t>
            </w:r>
            <w:proofErr w:type="spellEnd"/>
            <w:r w:rsidRPr="00BC062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C0629">
              <w:rPr>
                <w:rFonts w:cs="Sylfaen"/>
                <w:b/>
                <w:sz w:val="24"/>
                <w:szCs w:val="24"/>
              </w:rPr>
              <w:t>բովանդակությունը</w:t>
            </w:r>
            <w:proofErr w:type="spellEnd"/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3010FE" w:rsidRPr="00BC0629" w:rsidRDefault="003010FE" w:rsidP="006C5252">
            <w:pPr>
              <w:rPr>
                <w:rFonts w:cs="Sylfaen"/>
                <w:b/>
                <w:sz w:val="24"/>
                <w:szCs w:val="24"/>
                <w:lang w:val="fr-CA"/>
              </w:rPr>
            </w:pPr>
            <w:proofErr w:type="spellStart"/>
            <w:r w:rsidRPr="00BC0629">
              <w:rPr>
                <w:rFonts w:cs="Sylfaen"/>
                <w:b/>
                <w:sz w:val="24"/>
                <w:szCs w:val="24"/>
              </w:rPr>
              <w:t>Կենտրոնական</w:t>
            </w:r>
            <w:proofErr w:type="spellEnd"/>
            <w:r w:rsidRPr="00BC062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C0629">
              <w:rPr>
                <w:rFonts w:cs="Sylfaen"/>
                <w:b/>
                <w:sz w:val="24"/>
                <w:szCs w:val="24"/>
              </w:rPr>
              <w:t>բանկի</w:t>
            </w:r>
            <w:proofErr w:type="spellEnd"/>
            <w:r w:rsidRPr="00BC062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C0629">
              <w:rPr>
                <w:rFonts w:cs="Sylfaen"/>
                <w:b/>
                <w:sz w:val="24"/>
                <w:szCs w:val="24"/>
              </w:rPr>
              <w:t>դիրքորոշումը</w:t>
            </w:r>
            <w:proofErr w:type="spellEnd"/>
          </w:p>
        </w:tc>
      </w:tr>
      <w:tr w:rsidR="003010FE" w:rsidRPr="00986721" w:rsidTr="002D7D25">
        <w:tc>
          <w:tcPr>
            <w:tcW w:w="441" w:type="dxa"/>
            <w:tcBorders>
              <w:bottom w:val="single" w:sz="4" w:space="0" w:color="auto"/>
            </w:tcBorders>
          </w:tcPr>
          <w:p w:rsidR="003010FE" w:rsidRPr="0024664B" w:rsidRDefault="003010FE" w:rsidP="006C5252">
            <w:pPr>
              <w:jc w:val="center"/>
              <w:rPr>
                <w:sz w:val="24"/>
                <w:szCs w:val="24"/>
              </w:rPr>
            </w:pPr>
            <w:r w:rsidRPr="0024664B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010FE" w:rsidRPr="00D9254D" w:rsidRDefault="003010FE" w:rsidP="006C5252">
            <w:pPr>
              <w:pStyle w:val="NoSpacing"/>
              <w:jc w:val="center"/>
              <w:rPr>
                <w:sz w:val="24"/>
                <w:lang w:val="hy-AM"/>
              </w:rPr>
            </w:pPr>
            <w:r w:rsidRPr="00D9254D">
              <w:rPr>
                <w:sz w:val="24"/>
                <w:lang w:val="hy-AM"/>
              </w:rPr>
              <w:t>ՀՀ Ֆինանսների նախարարություն,</w:t>
            </w:r>
          </w:p>
          <w:p w:rsidR="003010FE" w:rsidRPr="00D9254D" w:rsidRDefault="003010FE" w:rsidP="006C5252">
            <w:pPr>
              <w:pStyle w:val="NoSpacing"/>
              <w:jc w:val="center"/>
              <w:rPr>
                <w:sz w:val="24"/>
                <w:lang w:val="hy-AM"/>
              </w:rPr>
            </w:pPr>
            <w:r>
              <w:rPr>
                <w:sz w:val="24"/>
              </w:rPr>
              <w:t>01/29/3864-19</w:t>
            </w:r>
            <w:r w:rsidRPr="00D9254D">
              <w:rPr>
                <w:sz w:val="24"/>
                <w:lang w:val="hy-AM"/>
              </w:rPr>
              <w:t>,</w:t>
            </w:r>
          </w:p>
          <w:p w:rsidR="003010FE" w:rsidRPr="00E63362" w:rsidRDefault="003010FE" w:rsidP="006C5252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</w:rPr>
              <w:t>12.03.2019</w:t>
            </w:r>
            <w:r>
              <w:rPr>
                <w:sz w:val="24"/>
                <w:lang w:val="hy-AM"/>
              </w:rPr>
              <w:t>թ․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3010FE" w:rsidRPr="00D9254D" w:rsidRDefault="003010FE" w:rsidP="006C5252">
            <w:pPr>
              <w:pStyle w:val="ListParagraph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Դիտողություններ և առաջարկություններ չկան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3010FE" w:rsidRPr="00D9254D" w:rsidRDefault="003010FE" w:rsidP="006C5252">
            <w:pPr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Ընդունվել է ի գիտություն։</w:t>
            </w:r>
          </w:p>
          <w:p w:rsidR="003010FE" w:rsidRDefault="003010FE" w:rsidP="006C5252">
            <w:pPr>
              <w:rPr>
                <w:sz w:val="24"/>
                <w:szCs w:val="24"/>
              </w:rPr>
            </w:pPr>
          </w:p>
          <w:p w:rsidR="003010FE" w:rsidRDefault="003010FE" w:rsidP="006C5252">
            <w:pPr>
              <w:rPr>
                <w:sz w:val="24"/>
                <w:szCs w:val="24"/>
              </w:rPr>
            </w:pPr>
          </w:p>
          <w:p w:rsidR="003010FE" w:rsidRPr="00986721" w:rsidRDefault="003010FE" w:rsidP="006C5252">
            <w:pPr>
              <w:pStyle w:val="ListParagraph"/>
              <w:ind w:left="360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3010FE" w:rsidRPr="0024664B" w:rsidTr="002D7D25">
        <w:tc>
          <w:tcPr>
            <w:tcW w:w="441" w:type="dxa"/>
            <w:tcBorders>
              <w:top w:val="single" w:sz="4" w:space="0" w:color="auto"/>
            </w:tcBorders>
          </w:tcPr>
          <w:p w:rsidR="003010FE" w:rsidRPr="0024664B" w:rsidRDefault="003010FE" w:rsidP="006C52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010FE" w:rsidRDefault="003010FE" w:rsidP="006C52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ՀՀ </w:t>
            </w:r>
            <w:proofErr w:type="spellStart"/>
            <w:r>
              <w:rPr>
                <w:sz w:val="24"/>
                <w:szCs w:val="24"/>
              </w:rPr>
              <w:t>տնտեսական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զարգացման</w:t>
            </w:r>
            <w:proofErr w:type="spellEnd"/>
            <w:r>
              <w:rPr>
                <w:sz w:val="24"/>
                <w:szCs w:val="24"/>
              </w:rPr>
              <w:t xml:space="preserve"> և </w:t>
            </w:r>
            <w:proofErr w:type="spellStart"/>
            <w:r>
              <w:rPr>
                <w:sz w:val="24"/>
                <w:szCs w:val="24"/>
              </w:rPr>
              <w:t>ներդրումների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նախարարություն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3010FE" w:rsidRPr="008E695A" w:rsidRDefault="003010FE" w:rsidP="006C5252">
            <w:pPr>
              <w:jc w:val="center"/>
              <w:rPr>
                <w:sz w:val="24"/>
                <w:szCs w:val="24"/>
                <w:lang w:val="hy-AM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3010FE" w:rsidRPr="00CA54E0" w:rsidRDefault="003010FE" w:rsidP="006C5252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Դիտողություններ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չկան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3010FE" w:rsidRPr="00D9254D" w:rsidRDefault="003010FE" w:rsidP="006C5252">
            <w:pPr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Ընդունվել է ի գիտություն։</w:t>
            </w:r>
          </w:p>
          <w:p w:rsidR="003010FE" w:rsidRPr="0024664B" w:rsidRDefault="003010FE" w:rsidP="006C5252">
            <w:pPr>
              <w:rPr>
                <w:sz w:val="24"/>
                <w:szCs w:val="24"/>
              </w:rPr>
            </w:pPr>
          </w:p>
        </w:tc>
      </w:tr>
      <w:tr w:rsidR="003010FE" w:rsidRPr="00426E60" w:rsidTr="002D7D25">
        <w:tc>
          <w:tcPr>
            <w:tcW w:w="441" w:type="dxa"/>
            <w:tcBorders>
              <w:top w:val="single" w:sz="4" w:space="0" w:color="auto"/>
            </w:tcBorders>
          </w:tcPr>
          <w:p w:rsidR="003010FE" w:rsidRDefault="003010FE" w:rsidP="006C52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010FE" w:rsidRDefault="003010FE" w:rsidP="00CA67BB">
            <w:pPr>
              <w:spacing w:line="240" w:lineRule="auto"/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ՀՀ Արդարադատության նախարարություն</w:t>
            </w:r>
          </w:p>
          <w:p w:rsidR="003010FE" w:rsidRPr="003010FE" w:rsidRDefault="003010FE" w:rsidP="00CA67BB">
            <w:pPr>
              <w:spacing w:line="240" w:lineRule="auto"/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29․04․2019թ․ թիվ 01/14/9126․19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426E60" w:rsidRDefault="00426E60" w:rsidP="00153FDF">
            <w:pPr>
              <w:spacing w:after="0" w:line="240" w:lineRule="auto"/>
              <w:ind w:right="-450"/>
              <w:rPr>
                <w:lang w:val="hy-AM"/>
              </w:rPr>
            </w:pPr>
            <w:r w:rsidRPr="00426E60">
              <w:rPr>
                <w:lang w:val="hy-AM"/>
              </w:rPr>
              <w:t>1․ «Պետական տուրքի մասին» Հայաստանի Հանրապետության օրենքում փոփոխություններ կատարելու մասին» օրենքի նախագծի /այսուհետ՝ նախագիծ/ 2-րդ հոդվածով նախատեսվում է «Պետական տուրքի մասին» օրենքի 31-րդ հոդվածից հանել «Համահայկական բանկն ազատվում է գրանցման և լիցենզավորման համար սույն օրենքով սահմանված պետական տուրքի վճարումից» բառերը, մինչդեռ նախագծի 2-րդ հոդվածն անհրաժեշտ է խմբագրել՝ վերը նշված բառերը հանելու փոխարեն ուժը կորցրած ճանաչելով օրենքի 31-րդ հոդվածի 3-րդ մասը:</w:t>
            </w:r>
          </w:p>
          <w:p w:rsidR="00153FDF" w:rsidRDefault="00153FDF" w:rsidP="00153FDF">
            <w:pPr>
              <w:spacing w:after="0" w:line="240" w:lineRule="auto"/>
              <w:ind w:right="-450"/>
              <w:rPr>
                <w:lang w:val="hy-AM"/>
              </w:rPr>
            </w:pPr>
          </w:p>
          <w:p w:rsidR="00153FDF" w:rsidRDefault="00153FDF" w:rsidP="00153FDF">
            <w:pPr>
              <w:spacing w:after="0" w:line="240" w:lineRule="auto"/>
              <w:ind w:right="-450"/>
              <w:rPr>
                <w:lang w:val="hy-AM"/>
              </w:rPr>
            </w:pPr>
          </w:p>
          <w:p w:rsidR="00153FDF" w:rsidRDefault="00153FDF" w:rsidP="00153FDF">
            <w:pPr>
              <w:spacing w:after="0" w:line="240" w:lineRule="auto"/>
              <w:ind w:right="-450"/>
              <w:rPr>
                <w:lang w:val="hy-AM"/>
              </w:rPr>
            </w:pPr>
          </w:p>
          <w:p w:rsidR="00153FDF" w:rsidRDefault="00153FDF" w:rsidP="00153FDF">
            <w:pPr>
              <w:spacing w:after="0" w:line="240" w:lineRule="auto"/>
              <w:ind w:right="-450"/>
              <w:rPr>
                <w:lang w:val="hy-AM"/>
              </w:rPr>
            </w:pPr>
          </w:p>
          <w:p w:rsidR="00153FDF" w:rsidRDefault="00153FDF" w:rsidP="00153FDF">
            <w:pPr>
              <w:spacing w:after="0" w:line="240" w:lineRule="auto"/>
              <w:ind w:right="-450"/>
              <w:rPr>
                <w:lang w:val="hy-AM"/>
              </w:rPr>
            </w:pPr>
          </w:p>
          <w:p w:rsidR="00153FDF" w:rsidRPr="00426E60" w:rsidRDefault="00153FDF" w:rsidP="00153FDF">
            <w:pPr>
              <w:spacing w:after="0" w:line="240" w:lineRule="auto"/>
              <w:ind w:right="-450"/>
              <w:rPr>
                <w:lang w:val="hy-AM"/>
              </w:rPr>
            </w:pPr>
          </w:p>
          <w:p w:rsidR="00170DCB" w:rsidRPr="00170DCB" w:rsidRDefault="00170DCB" w:rsidP="00170DCB">
            <w:pPr>
              <w:spacing w:after="0" w:line="240" w:lineRule="auto"/>
              <w:ind w:right="-450"/>
              <w:rPr>
                <w:lang w:val="hy-AM"/>
              </w:rPr>
            </w:pPr>
            <w:r>
              <w:rPr>
                <w:lang w:val="hy-AM"/>
              </w:rPr>
              <w:t>2․</w:t>
            </w:r>
            <w:r w:rsidRPr="00170DCB">
              <w:rPr>
                <w:lang w:val="hy-AM"/>
              </w:rPr>
              <w:t xml:space="preserve">Նախագծի 2-րդ հոդվածից հետո շարադրված հոդվածի </w:t>
            </w:r>
            <w:proofErr w:type="spellStart"/>
            <w:r w:rsidRPr="00170DCB">
              <w:rPr>
                <w:lang w:val="hy-AM"/>
              </w:rPr>
              <w:t>համարակալումն</w:t>
            </w:r>
            <w:proofErr w:type="spellEnd"/>
            <w:r w:rsidRPr="00170DCB">
              <w:rPr>
                <w:lang w:val="hy-AM"/>
              </w:rPr>
              <w:t xml:space="preserve"> անհրաժեշտ է վերանայել՝ նկատի ունենալով «Նորմատիվ իրավական ակտերի մասին» օրենքի 13-րդ հոդվածի պահանջները:</w:t>
            </w:r>
          </w:p>
          <w:p w:rsidR="003010FE" w:rsidRDefault="003010FE" w:rsidP="006C5252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70DCB" w:rsidRPr="00170DCB" w:rsidRDefault="00170DCB" w:rsidP="00170DCB">
            <w:pPr>
              <w:spacing w:after="0" w:line="240" w:lineRule="auto"/>
              <w:ind w:right="-450"/>
              <w:rPr>
                <w:lang w:val="hy-AM"/>
              </w:rPr>
            </w:pPr>
            <w:r>
              <w:rPr>
                <w:sz w:val="24"/>
                <w:szCs w:val="24"/>
                <w:lang w:val="hy-AM"/>
              </w:rPr>
              <w:t xml:space="preserve">3․ </w:t>
            </w:r>
            <w:r w:rsidRPr="00170DCB">
              <w:rPr>
                <w:lang w:val="hy-AM"/>
              </w:rPr>
              <w:t>«Արժեթղթերի շուկայի մասին» Հայաստանի Հանրապետության օրենքում փոփոխություն կատարելու մասին» օրենքի նախագծի 1-ին հոդվածում «ենթակետը» բառն անհրաժեշտ է փոխարինել «կետը» բառով՝ նկատի ունենալով «Նորմատիվ իրավական ակտերի մասին» օրենքի 14-րդ հոդվածի պահանջները, ինչպես նաև «Արժեթղթերի շուկայի մասին» օրենքի դրույթները:</w:t>
            </w:r>
          </w:p>
          <w:p w:rsidR="004547A7" w:rsidRPr="004547A7" w:rsidRDefault="004547A7" w:rsidP="004547A7">
            <w:pPr>
              <w:spacing w:after="0" w:line="240" w:lineRule="auto"/>
              <w:ind w:right="-450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4․</w:t>
            </w:r>
            <w:r w:rsidRPr="00F445F1">
              <w:rPr>
                <w:sz w:val="24"/>
                <w:szCs w:val="24"/>
                <w:lang w:val="hy-AM"/>
              </w:rPr>
              <w:t>«Արժութային կարգավորման և արժութային վերահսկողության մասին» Հայաստանի Հանրապետության օրենքում փոփոխություններ կատարելու մասին</w:t>
            </w:r>
            <w:r w:rsidRPr="004547A7">
              <w:rPr>
                <w:sz w:val="24"/>
                <w:szCs w:val="24"/>
                <w:lang w:val="hy-AM"/>
              </w:rPr>
              <w:t xml:space="preserve">» օրենքի նախագծի 1-ին </w:t>
            </w:r>
            <w:r w:rsidRPr="004547A7">
              <w:rPr>
                <w:sz w:val="24"/>
                <w:szCs w:val="24"/>
                <w:lang w:val="hy-AM"/>
              </w:rPr>
              <w:lastRenderedPageBreak/>
              <w:t>հոդվածով՝ օրենքի մի շարք հոդվածներում կատարվող փոփոխություններն անհրաժեշտ է նախատեսել առանձին հոդվածներով: Այդ առումով անհրաժեշտ է նկատի ունենալ «Նորմատիվ իրավական ակտերի մասին» օրենքի 14-րդ հոդվածի 2-րդ մասի պահանջները, համաձայն որոնց օրենսդրական ակտերում նորմերը շարադրվում են հերթական համար ունեցող հոդվածների տեսքով:</w:t>
            </w:r>
          </w:p>
          <w:p w:rsidR="00C24E13" w:rsidRPr="00C24E13" w:rsidRDefault="00C24E13" w:rsidP="00C24E13">
            <w:pPr>
              <w:spacing w:after="0" w:line="240" w:lineRule="auto"/>
              <w:ind w:right="-450"/>
              <w:rPr>
                <w:sz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 xml:space="preserve">5․ </w:t>
            </w:r>
            <w:r w:rsidRPr="00F445F1">
              <w:rPr>
                <w:sz w:val="24"/>
                <w:szCs w:val="24"/>
                <w:lang w:val="hy-AM"/>
              </w:rPr>
              <w:t>«Համահայկական բանկի մասին» Հայաստանի Հանրապետության օրենքը ուժը կորցրած ճանաչելու մասին», «Բանկերի և բանկային գործունեության մասին» Հայաստանի Հանրապետության օրենքում փոփոխություն կատարելու մասին»,</w:t>
            </w:r>
            <w:r w:rsidRPr="00C24E13">
              <w:rPr>
                <w:sz w:val="24"/>
                <w:szCs w:val="24"/>
                <w:lang w:val="hy-AM"/>
              </w:rPr>
              <w:t xml:space="preserve"> «Բանկային գաղտնիքի մասին» Հայաստանի Հանրապետության օրենքում փոփոխություն կատարելու մասին», </w:t>
            </w:r>
            <w:r w:rsidRPr="00F445F1">
              <w:rPr>
                <w:sz w:val="24"/>
                <w:szCs w:val="24"/>
                <w:lang w:val="hy-AM"/>
              </w:rPr>
              <w:t>«Լիցենզավորման մասին</w:t>
            </w:r>
            <w:r w:rsidRPr="00C24E13">
              <w:rPr>
                <w:sz w:val="24"/>
                <w:szCs w:val="24"/>
                <w:lang w:val="hy-AM"/>
              </w:rPr>
              <w:t>»</w:t>
            </w:r>
            <w:r w:rsidRPr="00F445F1">
              <w:rPr>
                <w:sz w:val="24"/>
                <w:szCs w:val="24"/>
                <w:lang w:val="hy-AM"/>
              </w:rPr>
              <w:t xml:space="preserve"> Հայաստանի Հանրապետության օրենքում փոփոխություն կատարելու մասին», «Պետական տուրքի մասին» Հայաստանի Հանրապետության օրենքում փոփոխություններ կատարելու մասին</w:t>
            </w:r>
            <w:r>
              <w:rPr>
                <w:sz w:val="24"/>
                <w:szCs w:val="24"/>
                <w:lang w:val="hy-AM"/>
              </w:rPr>
              <w:t>»,</w:t>
            </w:r>
            <w:r w:rsidRPr="00C24E13">
              <w:rPr>
                <w:sz w:val="24"/>
                <w:szCs w:val="24"/>
                <w:lang w:val="hy-AM"/>
              </w:rPr>
              <w:t xml:space="preserve"> </w:t>
            </w:r>
            <w:r w:rsidRPr="00F445F1">
              <w:rPr>
                <w:sz w:val="24"/>
                <w:szCs w:val="24"/>
                <w:lang w:val="hy-AM"/>
              </w:rPr>
              <w:t xml:space="preserve">«Վճարահաշվարկային համակարգերի </w:t>
            </w:r>
            <w:r w:rsidRPr="00C24E13">
              <w:rPr>
                <w:sz w:val="24"/>
                <w:szCs w:val="24"/>
                <w:lang w:val="hy-AM"/>
              </w:rPr>
              <w:t>և</w:t>
            </w:r>
            <w:r w:rsidRPr="00F445F1">
              <w:rPr>
                <w:sz w:val="24"/>
                <w:szCs w:val="24"/>
                <w:lang w:val="hy-AM"/>
              </w:rPr>
              <w:t xml:space="preserve"> վճարահաշվարկային կազմակերպությունների մասին» Հայաստանի Հանրապետության օրենքում փոփոխություն կատարելու մասին»</w:t>
            </w:r>
            <w:r w:rsidR="00FE59BF">
              <w:rPr>
                <w:sz w:val="24"/>
                <w:szCs w:val="24"/>
                <w:lang w:val="hy-AM"/>
              </w:rPr>
              <w:t xml:space="preserve">, </w:t>
            </w:r>
            <w:r w:rsidRPr="00F445F1">
              <w:rPr>
                <w:sz w:val="24"/>
                <w:szCs w:val="24"/>
                <w:lang w:val="hy-AM"/>
              </w:rPr>
              <w:t>«Հայաստանի Հանրապետության հարկային օրենսգրքում փոփոխություններ կատարելու մասին</w:t>
            </w:r>
            <w:r>
              <w:rPr>
                <w:sz w:val="24"/>
                <w:szCs w:val="24"/>
                <w:lang w:val="hy-AM"/>
              </w:rPr>
              <w:t>»</w:t>
            </w:r>
            <w:r w:rsidR="00FE59BF">
              <w:rPr>
                <w:sz w:val="24"/>
                <w:szCs w:val="24"/>
                <w:lang w:val="hy-AM"/>
              </w:rPr>
              <w:t xml:space="preserve">, </w:t>
            </w:r>
            <w:r w:rsidR="00FE59BF" w:rsidRPr="00077C49">
              <w:rPr>
                <w:color w:val="000000"/>
                <w:sz w:val="24"/>
                <w:szCs w:val="24"/>
                <w:lang w:val="hy-AM"/>
              </w:rPr>
              <w:t>&lt;&lt;Հայաստանի Հանրապետության կենտրոնական բանկի մասին օրենքում փոփոխություն կատարելու մասին</w:t>
            </w:r>
            <w:r w:rsidR="00FE59BF">
              <w:rPr>
                <w:sz w:val="24"/>
                <w:szCs w:val="24"/>
                <w:lang w:val="hy-AM"/>
              </w:rPr>
              <w:t xml:space="preserve"> </w:t>
            </w:r>
            <w:r w:rsidR="00FE59BF" w:rsidRPr="00077C49">
              <w:rPr>
                <w:color w:val="000000"/>
                <w:sz w:val="24"/>
                <w:szCs w:val="24"/>
                <w:lang w:val="hy-AM"/>
              </w:rPr>
              <w:t xml:space="preserve">&gt;&gt;, </w:t>
            </w:r>
            <w:r w:rsidR="00FE59BF" w:rsidRPr="00077C49">
              <w:rPr>
                <w:rFonts w:eastAsia="Times New Roman" w:cs="Times New Roman"/>
                <w:bCs/>
                <w:color w:val="000000"/>
                <w:sz w:val="24"/>
                <w:szCs w:val="24"/>
                <w:lang w:val="hy-AM"/>
              </w:rPr>
              <w:t xml:space="preserve">&lt;&lt;Փողերի լվացման </w:t>
            </w:r>
            <w:proofErr w:type="spellStart"/>
            <w:r w:rsidR="00FE59BF" w:rsidRPr="00077C49">
              <w:rPr>
                <w:rFonts w:eastAsia="Times New Roman" w:cs="Times New Roman"/>
                <w:bCs/>
                <w:color w:val="000000"/>
                <w:sz w:val="24"/>
                <w:szCs w:val="24"/>
                <w:lang w:val="hy-AM"/>
              </w:rPr>
              <w:t>եվ</w:t>
            </w:r>
            <w:proofErr w:type="spellEnd"/>
            <w:r w:rsidR="00FE59BF" w:rsidRPr="00077C49">
              <w:rPr>
                <w:rFonts w:eastAsia="Times New Roman" w:cs="Times New Roman"/>
                <w:bCs/>
                <w:color w:val="000000"/>
                <w:sz w:val="24"/>
                <w:szCs w:val="24"/>
                <w:lang w:val="hy-AM"/>
              </w:rPr>
              <w:t xml:space="preserve"> ահաբեկչության ֆի</w:t>
            </w:r>
            <w:r w:rsidR="00FE59BF">
              <w:rPr>
                <w:rFonts w:eastAsia="Times New Roman" w:cs="Times New Roman"/>
                <w:bCs/>
                <w:color w:val="000000"/>
                <w:sz w:val="24"/>
                <w:szCs w:val="24"/>
                <w:lang w:val="hy-AM"/>
              </w:rPr>
              <w:t xml:space="preserve">նանսավորման դեմ պայքարի մասին» </w:t>
            </w:r>
            <w:r w:rsidR="00FE59BF">
              <w:rPr>
                <w:rFonts w:eastAsia="Times New Roman" w:cs="Times New Roman"/>
                <w:bCs/>
                <w:color w:val="000000"/>
                <w:sz w:val="24"/>
                <w:szCs w:val="24"/>
                <w:lang w:val="hy-AM"/>
              </w:rPr>
              <w:lastRenderedPageBreak/>
              <w:t>Հայաստանի Հ</w:t>
            </w:r>
            <w:r w:rsidR="00FE59BF" w:rsidRPr="00077C49">
              <w:rPr>
                <w:rFonts w:eastAsia="Times New Roman" w:cs="Times New Roman"/>
                <w:bCs/>
                <w:color w:val="000000"/>
                <w:sz w:val="24"/>
                <w:szCs w:val="24"/>
                <w:lang w:val="hy-AM"/>
              </w:rPr>
              <w:t>անրապետության օրենքում փոփոխություն կատարելու մասին</w:t>
            </w:r>
            <w:r w:rsidR="00FE59BF">
              <w:rPr>
                <w:rFonts w:eastAsia="Times New Roman" w:cs="Times New Roman"/>
                <w:bCs/>
                <w:color w:val="000000"/>
                <w:sz w:val="24"/>
                <w:szCs w:val="24"/>
                <w:lang w:val="hy-AM"/>
              </w:rPr>
              <w:t>&gt;&gt;</w:t>
            </w:r>
            <w:r w:rsidR="00FE59BF">
              <w:rPr>
                <w:rFonts w:eastAsia="Calibri"/>
                <w:color w:val="000000"/>
                <w:sz w:val="24"/>
                <w:szCs w:val="24"/>
                <w:lang w:val="af-ZA"/>
              </w:rPr>
              <w:t xml:space="preserve"> </w:t>
            </w:r>
            <w:r w:rsidRPr="00F445F1">
              <w:rPr>
                <w:sz w:val="24"/>
                <w:szCs w:val="24"/>
                <w:lang w:val="hy-AM"/>
              </w:rPr>
              <w:t xml:space="preserve"> Հ</w:t>
            </w:r>
            <w:r w:rsidRPr="00C24E13">
              <w:rPr>
                <w:sz w:val="24"/>
                <w:szCs w:val="24"/>
                <w:lang w:val="hy-AM"/>
              </w:rPr>
              <w:t xml:space="preserve">այաստանի </w:t>
            </w:r>
            <w:r w:rsidRPr="00F445F1">
              <w:rPr>
                <w:sz w:val="24"/>
                <w:szCs w:val="24"/>
                <w:lang w:val="hy-AM"/>
              </w:rPr>
              <w:t>Հ</w:t>
            </w:r>
            <w:r w:rsidRPr="00C24E13">
              <w:rPr>
                <w:sz w:val="24"/>
                <w:szCs w:val="24"/>
                <w:lang w:val="hy-AM"/>
              </w:rPr>
              <w:t>անրապետության</w:t>
            </w:r>
            <w:r w:rsidRPr="00F445F1">
              <w:rPr>
                <w:sz w:val="24"/>
                <w:szCs w:val="24"/>
                <w:lang w:val="hy-AM"/>
              </w:rPr>
              <w:t xml:space="preserve"> օրենքների նախագծեր</w:t>
            </w:r>
            <w:r w:rsidRPr="00C24E13">
              <w:rPr>
                <w:sz w:val="24"/>
                <w:szCs w:val="24"/>
                <w:lang w:val="hy-AM"/>
              </w:rPr>
              <w:t>ը</w:t>
            </w:r>
            <w:r w:rsidRPr="00F445F1">
              <w:rPr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C24E13">
              <w:rPr>
                <w:sz w:val="24"/>
                <w:szCs w:val="24"/>
                <w:lang w:val="hy-AM"/>
              </w:rPr>
              <w:t>համապատախանում</w:t>
            </w:r>
            <w:proofErr w:type="spellEnd"/>
            <w:r w:rsidRPr="00C24E13">
              <w:rPr>
                <w:sz w:val="24"/>
                <w:szCs w:val="24"/>
                <w:lang w:val="hy-AM"/>
              </w:rPr>
              <w:t xml:space="preserve"> են Հայաստանի Հանրապետության օրենսդրությանը:</w:t>
            </w:r>
            <w:r w:rsidRPr="00C24E13">
              <w:rPr>
                <w:sz w:val="24"/>
                <w:lang w:val="hy-AM"/>
              </w:rPr>
              <w:t xml:space="preserve"> </w:t>
            </w:r>
          </w:p>
          <w:p w:rsidR="00170DCB" w:rsidRPr="00DC316A" w:rsidRDefault="00170DCB" w:rsidP="006C5252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170DCB" w:rsidRDefault="00170DCB" w:rsidP="006C5252">
            <w:pPr>
              <w:rPr>
                <w:lang w:val="hy-AM"/>
              </w:rPr>
            </w:pPr>
            <w:r w:rsidRPr="00170DCB">
              <w:rPr>
                <w:lang w:val="hy-AM"/>
              </w:rPr>
              <w:lastRenderedPageBreak/>
              <w:t>1․</w:t>
            </w:r>
            <w:r w:rsidR="007D2F97">
              <w:rPr>
                <w:lang w:val="hy-AM"/>
              </w:rPr>
              <w:t>Նախագիծը հանվել է շրջանառությունից։</w:t>
            </w:r>
          </w:p>
          <w:p w:rsidR="00170DCB" w:rsidRPr="00170DCB" w:rsidRDefault="00170DCB" w:rsidP="00170DCB">
            <w:pPr>
              <w:rPr>
                <w:lang w:val="hy-AM"/>
              </w:rPr>
            </w:pPr>
          </w:p>
          <w:p w:rsidR="00170DCB" w:rsidRPr="00170DCB" w:rsidRDefault="00170DCB" w:rsidP="00170DCB">
            <w:pPr>
              <w:rPr>
                <w:lang w:val="hy-AM"/>
              </w:rPr>
            </w:pPr>
          </w:p>
          <w:p w:rsidR="00170DCB" w:rsidRPr="00170DCB" w:rsidRDefault="00170DCB" w:rsidP="00170DCB">
            <w:pPr>
              <w:rPr>
                <w:lang w:val="hy-AM"/>
              </w:rPr>
            </w:pPr>
          </w:p>
          <w:p w:rsidR="00170DCB" w:rsidRPr="00170DCB" w:rsidRDefault="00170DCB" w:rsidP="00170DCB">
            <w:pPr>
              <w:rPr>
                <w:lang w:val="hy-AM"/>
              </w:rPr>
            </w:pPr>
          </w:p>
          <w:p w:rsidR="00170DCB" w:rsidRPr="00170DCB" w:rsidRDefault="00170DCB" w:rsidP="00170DCB">
            <w:pPr>
              <w:rPr>
                <w:lang w:val="hy-AM"/>
              </w:rPr>
            </w:pPr>
          </w:p>
          <w:p w:rsidR="00170DCB" w:rsidRPr="00170DCB" w:rsidRDefault="00170DCB" w:rsidP="00170DCB">
            <w:pPr>
              <w:rPr>
                <w:lang w:val="hy-AM"/>
              </w:rPr>
            </w:pPr>
          </w:p>
          <w:p w:rsidR="00170DCB" w:rsidRDefault="00170DCB" w:rsidP="00170DCB">
            <w:pPr>
              <w:rPr>
                <w:lang w:val="hy-AM"/>
              </w:rPr>
            </w:pPr>
          </w:p>
          <w:p w:rsidR="00C74B88" w:rsidRDefault="00C74B88" w:rsidP="00170DCB">
            <w:pPr>
              <w:rPr>
                <w:lang w:val="hy-AM"/>
              </w:rPr>
            </w:pPr>
          </w:p>
          <w:p w:rsidR="00C74B88" w:rsidRDefault="00C74B88" w:rsidP="00170DCB">
            <w:pPr>
              <w:rPr>
                <w:lang w:val="hy-AM"/>
              </w:rPr>
            </w:pPr>
          </w:p>
          <w:p w:rsidR="00170DCB" w:rsidRDefault="00170DCB" w:rsidP="00170DCB">
            <w:pPr>
              <w:rPr>
                <w:lang w:val="hy-AM"/>
              </w:rPr>
            </w:pPr>
            <w:r>
              <w:rPr>
                <w:lang w:val="hy-AM"/>
              </w:rPr>
              <w:t>2․ Ընդունվել է և Նախագծում կատարվել է համապատասխան փոփոխություն։</w:t>
            </w:r>
          </w:p>
          <w:p w:rsidR="00153FDF" w:rsidRDefault="00153FDF" w:rsidP="00170DCB">
            <w:pPr>
              <w:rPr>
                <w:lang w:val="hy-AM"/>
              </w:rPr>
            </w:pPr>
          </w:p>
          <w:p w:rsidR="004547A7" w:rsidRDefault="00170DCB" w:rsidP="00170DCB">
            <w:pPr>
              <w:rPr>
                <w:lang w:val="hy-AM"/>
              </w:rPr>
            </w:pPr>
            <w:r>
              <w:rPr>
                <w:lang w:val="hy-AM"/>
              </w:rPr>
              <w:t xml:space="preserve">3․ </w:t>
            </w:r>
            <w:r w:rsidR="00C06A40">
              <w:rPr>
                <w:lang w:val="hy-AM"/>
              </w:rPr>
              <w:t>Ընդունվել է և Նախագծում կատարվել է համապատասխան փոփոխություն։</w:t>
            </w:r>
          </w:p>
          <w:p w:rsidR="004547A7" w:rsidRDefault="004547A7" w:rsidP="004547A7">
            <w:pPr>
              <w:rPr>
                <w:lang w:val="hy-AM"/>
              </w:rPr>
            </w:pPr>
          </w:p>
          <w:p w:rsidR="00C74B88" w:rsidRDefault="00C74B88" w:rsidP="004547A7">
            <w:pPr>
              <w:rPr>
                <w:lang w:val="hy-AM"/>
              </w:rPr>
            </w:pPr>
          </w:p>
          <w:p w:rsidR="004547A7" w:rsidRDefault="004547A7" w:rsidP="004547A7">
            <w:pPr>
              <w:spacing w:line="240" w:lineRule="auto"/>
              <w:rPr>
                <w:lang w:val="hy-AM"/>
              </w:rPr>
            </w:pPr>
            <w:r>
              <w:rPr>
                <w:lang w:val="hy-AM"/>
              </w:rPr>
              <w:t>4․Ընդունվել է և Նախագծում կատարվել է համապատասխան փոփոխություն։</w:t>
            </w:r>
          </w:p>
          <w:p w:rsidR="00C24E13" w:rsidRDefault="00C24E13" w:rsidP="004547A7">
            <w:pPr>
              <w:rPr>
                <w:lang w:val="hy-AM"/>
              </w:rPr>
            </w:pPr>
          </w:p>
          <w:p w:rsidR="00C24E13" w:rsidRPr="00C24E13" w:rsidRDefault="00C24E13" w:rsidP="00C24E13">
            <w:pPr>
              <w:rPr>
                <w:lang w:val="hy-AM"/>
              </w:rPr>
            </w:pPr>
          </w:p>
          <w:p w:rsidR="00C24E13" w:rsidRPr="00C24E13" w:rsidRDefault="00C24E13" w:rsidP="00C24E13">
            <w:pPr>
              <w:rPr>
                <w:lang w:val="hy-AM"/>
              </w:rPr>
            </w:pPr>
          </w:p>
          <w:p w:rsidR="00C24E13" w:rsidRPr="00C24E13" w:rsidRDefault="00C24E13" w:rsidP="00C24E13">
            <w:pPr>
              <w:rPr>
                <w:lang w:val="hy-AM"/>
              </w:rPr>
            </w:pPr>
          </w:p>
          <w:p w:rsidR="00C24E13" w:rsidRPr="00C24E13" w:rsidRDefault="00C24E13" w:rsidP="00C24E13">
            <w:pPr>
              <w:rPr>
                <w:lang w:val="hy-AM"/>
              </w:rPr>
            </w:pPr>
          </w:p>
          <w:p w:rsidR="00EB667A" w:rsidRDefault="00EB667A" w:rsidP="00C24E13">
            <w:pPr>
              <w:rPr>
                <w:lang w:val="hy-AM"/>
              </w:rPr>
            </w:pPr>
          </w:p>
          <w:p w:rsidR="00C24E13" w:rsidRPr="00C24E13" w:rsidRDefault="00C24E13" w:rsidP="00C24E13">
            <w:pPr>
              <w:rPr>
                <w:lang w:val="hy-AM"/>
              </w:rPr>
            </w:pPr>
            <w:r>
              <w:rPr>
                <w:lang w:val="hy-AM"/>
              </w:rPr>
              <w:t>5․ Ընդունվել է ի գիտություն։</w:t>
            </w:r>
          </w:p>
        </w:tc>
      </w:tr>
      <w:tr w:rsidR="003010FE" w:rsidRPr="00A10DCD" w:rsidTr="002D7D25">
        <w:tc>
          <w:tcPr>
            <w:tcW w:w="441" w:type="dxa"/>
          </w:tcPr>
          <w:p w:rsidR="003010FE" w:rsidRDefault="003010FE" w:rsidP="006C52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268" w:type="dxa"/>
          </w:tcPr>
          <w:p w:rsidR="003010FE" w:rsidRPr="00CB308C" w:rsidRDefault="00A10DCD" w:rsidP="006C5252">
            <w:pPr>
              <w:rPr>
                <w:rStyle w:val="Hyperlink"/>
                <w:color w:val="000000" w:themeColor="text1"/>
                <w:sz w:val="24"/>
                <w:szCs w:val="24"/>
                <w:lang w:val="hy-AM"/>
              </w:rPr>
            </w:pPr>
            <w:hyperlink r:id="rId4" w:history="1">
              <w:r w:rsidR="003010FE" w:rsidRPr="00CB308C">
                <w:rPr>
                  <w:rStyle w:val="Hyperlink"/>
                  <w:sz w:val="24"/>
                  <w:szCs w:val="24"/>
                  <w:lang w:val="hy-AM"/>
                </w:rPr>
                <w:t>www.e-draft.am</w:t>
              </w:r>
            </w:hyperlink>
          </w:p>
          <w:p w:rsidR="003010FE" w:rsidRPr="00CB308C" w:rsidRDefault="003010FE" w:rsidP="006C5252">
            <w:pPr>
              <w:rPr>
                <w:rStyle w:val="Hyperlink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Style w:val="Hyperlink"/>
                <w:color w:val="000000" w:themeColor="text1"/>
                <w:sz w:val="24"/>
                <w:szCs w:val="24"/>
                <w:lang w:val="hy-AM"/>
              </w:rPr>
              <w:t>միասնական կայք</w:t>
            </w:r>
          </w:p>
        </w:tc>
        <w:tc>
          <w:tcPr>
            <w:tcW w:w="4394" w:type="dxa"/>
          </w:tcPr>
          <w:p w:rsidR="003010FE" w:rsidRPr="00DD7312" w:rsidRDefault="003010FE" w:rsidP="006C5252">
            <w:pPr>
              <w:autoSpaceDE w:val="0"/>
              <w:autoSpaceDN w:val="0"/>
              <w:adjustRightInd w:val="0"/>
              <w:spacing w:after="0" w:line="240" w:lineRule="auto"/>
              <w:rPr>
                <w:rFonts w:cs="Tms Rmn"/>
                <w:color w:val="000000"/>
                <w:sz w:val="24"/>
                <w:szCs w:val="24"/>
                <w:lang w:val="hy-AM"/>
              </w:rPr>
            </w:pPr>
            <w:r w:rsidRPr="00DD7312">
              <w:rPr>
                <w:rFonts w:cs="Arial"/>
                <w:color w:val="5F5F5F"/>
                <w:sz w:val="24"/>
                <w:szCs w:val="24"/>
                <w:lang w:val="hy-AM"/>
              </w:rPr>
              <w:t xml:space="preserve">Անցումային </w:t>
            </w:r>
            <w:proofErr w:type="spellStart"/>
            <w:r w:rsidRPr="00DD7312">
              <w:rPr>
                <w:rFonts w:cs="Arial"/>
                <w:color w:val="5F5F5F"/>
                <w:sz w:val="24"/>
                <w:szCs w:val="24"/>
                <w:lang w:val="hy-AM"/>
              </w:rPr>
              <w:t>դրույթներում</w:t>
            </w:r>
            <w:proofErr w:type="spellEnd"/>
            <w:r w:rsidRPr="00DD7312">
              <w:rPr>
                <w:rFonts w:cs="Arial"/>
                <w:color w:val="5F5F5F"/>
                <w:sz w:val="24"/>
                <w:szCs w:val="24"/>
                <w:lang w:val="hy-AM"/>
              </w:rPr>
              <w:t xml:space="preserve"> չկա </w:t>
            </w:r>
            <w:proofErr w:type="spellStart"/>
            <w:r w:rsidRPr="00DD7312">
              <w:rPr>
                <w:rFonts w:cs="Arial"/>
                <w:color w:val="5F5F5F"/>
                <w:sz w:val="24"/>
                <w:szCs w:val="24"/>
                <w:lang w:val="hy-AM"/>
              </w:rPr>
              <w:t>որև</w:t>
            </w:r>
            <w:r>
              <w:rPr>
                <w:rFonts w:cs="Arial"/>
                <w:color w:val="5F5F5F"/>
                <w:sz w:val="24"/>
                <w:szCs w:val="24"/>
                <w:lang w:val="hy-AM"/>
              </w:rPr>
              <w:t>Է</w:t>
            </w:r>
            <w:proofErr w:type="spellEnd"/>
            <w:r w:rsidRPr="00DD7312">
              <w:rPr>
                <w:rFonts w:cs="Arial"/>
                <w:color w:val="5F5F5F"/>
                <w:sz w:val="24"/>
                <w:szCs w:val="24"/>
                <w:lang w:val="hy-AM"/>
              </w:rPr>
              <w:t xml:space="preserve"> կարգավորում ԿԲ-ի կողմից տրամադրված 3 տարի ժամկետով մասնագիտական որակավորման վկայակա</w:t>
            </w:r>
            <w:r>
              <w:rPr>
                <w:rFonts w:cs="Arial"/>
                <w:color w:val="5F5F5F"/>
                <w:sz w:val="24"/>
                <w:szCs w:val="24"/>
                <w:lang w:val="hy-AM"/>
              </w:rPr>
              <w:t>ն</w:t>
            </w:r>
            <w:r w:rsidRPr="00DD7312">
              <w:rPr>
                <w:rFonts w:cs="Arial"/>
                <w:color w:val="5F5F5F"/>
                <w:sz w:val="24"/>
                <w:szCs w:val="24"/>
                <w:lang w:val="hy-AM"/>
              </w:rPr>
              <w:t>ների մասին, ուստի առաջարկում եմ հարցը քննարկել։</w:t>
            </w:r>
            <w:r w:rsidRPr="00DD7312">
              <w:rPr>
                <w:rFonts w:cs="Tms Rmn"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:rsidR="003010FE" w:rsidRPr="00923BBA" w:rsidRDefault="003010FE" w:rsidP="006C5252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409" w:type="dxa"/>
          </w:tcPr>
          <w:p w:rsidR="003010FE" w:rsidRPr="005F4029" w:rsidRDefault="003010FE" w:rsidP="005F4029">
            <w:pPr>
              <w:spacing w:line="240" w:lineRule="auto"/>
              <w:rPr>
                <w:lang w:val="hy-AM"/>
              </w:rPr>
            </w:pPr>
            <w:r w:rsidRPr="005F4029">
              <w:rPr>
                <w:lang w:val="hy-AM"/>
              </w:rPr>
              <w:t>Ընդունվել է ի գիտություն։ Նշված հարցը կարգավորվում է ՀՀ ԿԲ նորմատիվ իրավական ակտերով, ուստի հարցը կկարգավորվի Նախագծերի ընդունումից հետո՝ ԿԲ նորմատիվ իրավական ակտերում իրականացվող փոփոխությունների ժամանակ։</w:t>
            </w:r>
          </w:p>
        </w:tc>
      </w:tr>
    </w:tbl>
    <w:p w:rsidR="003010FE" w:rsidRPr="00E63362" w:rsidRDefault="003010FE" w:rsidP="003010FE">
      <w:pPr>
        <w:rPr>
          <w:lang w:val="hy-AM"/>
        </w:rPr>
      </w:pPr>
    </w:p>
    <w:p w:rsidR="004A76A0" w:rsidRPr="003010FE" w:rsidRDefault="004A76A0">
      <w:pPr>
        <w:rPr>
          <w:lang w:val="hy-AM"/>
        </w:rPr>
      </w:pPr>
    </w:p>
    <w:sectPr w:rsidR="004A76A0" w:rsidRPr="003010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0FE"/>
    <w:rsid w:val="00153FDF"/>
    <w:rsid w:val="00170DCB"/>
    <w:rsid w:val="00206FB1"/>
    <w:rsid w:val="002D7D25"/>
    <w:rsid w:val="003010FE"/>
    <w:rsid w:val="00426E60"/>
    <w:rsid w:val="004547A7"/>
    <w:rsid w:val="004A76A0"/>
    <w:rsid w:val="005F4029"/>
    <w:rsid w:val="0063349E"/>
    <w:rsid w:val="007D2F97"/>
    <w:rsid w:val="00A10DCD"/>
    <w:rsid w:val="00C06A40"/>
    <w:rsid w:val="00C24E13"/>
    <w:rsid w:val="00C74B88"/>
    <w:rsid w:val="00CA67BB"/>
    <w:rsid w:val="00D12517"/>
    <w:rsid w:val="00DC316A"/>
    <w:rsid w:val="00EB667A"/>
    <w:rsid w:val="00F8325C"/>
    <w:rsid w:val="00FE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A4DF92-BF74-404C-8F16-D86822B2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0F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010FE"/>
    <w:rPr>
      <w:b/>
      <w:bCs/>
    </w:rPr>
  </w:style>
  <w:style w:type="table" w:styleId="TableGrid">
    <w:name w:val="Table Grid"/>
    <w:basedOn w:val="TableNormal"/>
    <w:uiPriority w:val="59"/>
    <w:rsid w:val="003010FE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10FE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3010FE"/>
    <w:pPr>
      <w:spacing w:after="0" w:line="240" w:lineRule="auto"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010F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E5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draft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662</Words>
  <Characters>3778</Characters>
  <Application>Microsoft Office Word</Application>
  <DocSecurity>0</DocSecurity>
  <Lines>31</Lines>
  <Paragraphs>8</Paragraphs>
  <ScaleCrop>false</ScaleCrop>
  <Company/>
  <LinksUpToDate>false</LinksUpToDate>
  <CharactersWithSpaces>4432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Լևոն Սահակյան</dc:creator>
  <cp:keywords>https://mul2.gov.am/tasks/85903/oneclick/ampopatert.docx?token=8a721cd966bca6385fcad947543ca574</cp:keywords>
  <dc:description/>
  <cp:lastModifiedBy>Լևոն Սահակյան</cp:lastModifiedBy>
  <cp:revision>26</cp:revision>
  <dcterms:created xsi:type="dcterms:W3CDTF">2019-05-03T06:04:00Z</dcterms:created>
  <dcterms:modified xsi:type="dcterms:W3CDTF">2019-08-28T12:55:00Z</dcterms:modified>
</cp:coreProperties>
</file>