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DE" w:rsidRPr="004D2ADE" w:rsidRDefault="004D2ADE" w:rsidP="004D2ADE">
      <w:pPr>
        <w:spacing w:after="0" w:line="240" w:lineRule="auto"/>
        <w:ind w:left="3600" w:firstLine="720"/>
        <w:jc w:val="both"/>
        <w:rPr>
          <w:rFonts w:ascii="GHEA Grapalat" w:hAnsi="GHEA Grapalat" w:cs="GHEA Grapalat"/>
          <w:sz w:val="24"/>
          <w:szCs w:val="24"/>
        </w:rPr>
      </w:pPr>
    </w:p>
    <w:p w:rsidR="004D2ADE" w:rsidRPr="00391B93" w:rsidRDefault="004D2ADE" w:rsidP="00391B93">
      <w:pPr>
        <w:spacing w:after="0"/>
        <w:ind w:left="45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:rsidR="004D2ADE" w:rsidRPr="00391B93" w:rsidRDefault="004D2ADE" w:rsidP="00391B93">
      <w:pPr>
        <w:spacing w:after="0"/>
        <w:ind w:left="45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4D2ADE" w:rsidRPr="00391B93" w:rsidRDefault="004D2ADE" w:rsidP="00391B93">
      <w:pPr>
        <w:spacing w:after="0"/>
        <w:ind w:left="45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կատարելու մասին» որոշման ընդունման  </w:t>
      </w:r>
    </w:p>
    <w:p w:rsidR="004D2ADE" w:rsidRPr="004D2ADE" w:rsidRDefault="004D2ADE" w:rsidP="004D2ADE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4D2ADE" w:rsidRPr="004D2ADE" w:rsidRDefault="004D2ADE" w:rsidP="004D2AD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D2ADE" w:rsidRPr="004D2ADE" w:rsidRDefault="004D2ADE" w:rsidP="004D2ADE">
      <w:pPr>
        <w:spacing w:after="0"/>
        <w:jc w:val="center"/>
        <w:rPr>
          <w:rFonts w:ascii="GHEA Grapalat" w:hAnsi="GHEA Grapalat" w:cs="Sylfaen"/>
          <w:sz w:val="24"/>
          <w:szCs w:val="24"/>
        </w:rPr>
      </w:pP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4D2ADE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Ասիական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Հյուսիս-հարավ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միջանցքի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3</w:t>
      </w:r>
      <w:proofErr w:type="gramStart"/>
      <w:r w:rsidRPr="004D2ADE">
        <w:rPr>
          <w:rFonts w:ascii="GHEA Grapalat" w:hAnsi="GHEA Grapalat" w:cs="Sylfaen"/>
          <w:sz w:val="24"/>
          <w:szCs w:val="24"/>
        </w:rPr>
        <w:t>)»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r w:rsidRPr="004D2ADE">
        <w:rPr>
          <w:rFonts w:ascii="GHEA Grapalat" w:hAnsi="GHEA Grapalat"/>
          <w:sz w:val="24"/>
          <w:szCs w:val="24"/>
        </w:rPr>
        <w:t xml:space="preserve">2019թ. </w:t>
      </w:r>
      <w:r w:rsidRPr="004D2ADE">
        <w:rPr>
          <w:rFonts w:ascii="GHEA Grapalat" w:hAnsi="GHEA Grapalat" w:cs="Sylfaen"/>
          <w:sz w:val="24"/>
          <w:szCs w:val="24"/>
        </w:rPr>
        <w:t xml:space="preserve">պետական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21011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5112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շինարարություն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միջոցներով նախատեսված է 1,043,874.7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որից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ֆինանսավորվել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684,746.6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շուրջ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347,000.0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ուղիղ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վճարումներ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գտնվում են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Ասիական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բանկում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գործընթացում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: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համաֆինանսավորման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նախատեսված է 450,205.8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որից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ֆինանսավորվել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330,100.0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>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4D2ADE">
        <w:rPr>
          <w:rFonts w:ascii="GHEA Grapalat" w:hAnsi="GHEA Grapalat" w:cs="Sylfaen"/>
          <w:sz w:val="24"/>
          <w:szCs w:val="24"/>
        </w:rPr>
        <w:t>Ինժեների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կողմից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Կապալառուի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ՄՎՎ13, ՄՎՎ14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ՄՎՎ15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կատարողականները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վճարելու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համար անհրաժեշտ են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միջոցներ և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համաֆինանսավորման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միջոցներ՝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2,118,126.5 և 395,736.4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չափով: Նշված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ավելացումները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առաջարկում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«Եվրոպական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բանկի աջակցությամբ իրականացվող Մ6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Վանաձոր-Ալավերդի-Վրաստանի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սահման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միջպետական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նշանակության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կառուցում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հիմնավորում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21005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5113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կապիտալ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վերանորոգում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Ասիական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Հյուսիս-հարավ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միջանցքի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2)»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21006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5112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շինարարություն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նախատեսված միջոցների հաշվին: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4D2ADE">
        <w:rPr>
          <w:rFonts w:ascii="GHEA Grapalat" w:hAnsi="GHEA Grapalat" w:cs="Sylfaen"/>
          <w:sz w:val="24"/>
          <w:szCs w:val="24"/>
        </w:rPr>
        <w:t xml:space="preserve">«Եվրոպական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բանկի աջակցությամբ իրականացվող Մ6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Վանաձոր-Ալավերդի-Վրաստանի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սահման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միջպետական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նշանակության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կառուցում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հիմնավորում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21005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5113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կապիտալ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վերանորոգում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հետավարտական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գումարների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վճարումները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իրականացվել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են 2018թ. </w:t>
      </w:r>
      <w:proofErr w:type="spellStart"/>
      <w:proofErr w:type="gramStart"/>
      <w:r w:rsidRPr="004D2ADE">
        <w:rPr>
          <w:rFonts w:ascii="GHEA Grapalat" w:hAnsi="GHEA Grapalat" w:cs="Sylfaen"/>
          <w:sz w:val="24"/>
          <w:szCs w:val="24"/>
        </w:rPr>
        <w:t>տարեվերջին</w:t>
      </w:r>
      <w:proofErr w:type="spellEnd"/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կապալառուի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կողմից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բանկային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երաշխիքի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2019 թվականի ընթացքում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վճարումներ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կատարելու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>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en-GB"/>
        </w:rPr>
      </w:pPr>
      <w:r w:rsidRPr="004D2ADE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Ասիական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Հյուսիս-հարավ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միջանցքի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2)»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21006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5112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շինարարություն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նախատեսված միջոցների հաշվին ընթացիկ տարվա ընթացքում նախատեսված է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Աշտարակ-Թալին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ճանապարհահատվածի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lastRenderedPageBreak/>
        <w:t>շինարարական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աշխատանքների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ավարտված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Երևան-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Արտաշատ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>, Երևան-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Արարատ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1)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ճանապարհահատվածների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հետավարտական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երաշխիքային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գումարների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վճարումները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Սակայն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կապալառուն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2018թ. </w:t>
      </w:r>
      <w:proofErr w:type="spellStart"/>
      <w:proofErr w:type="gramStart"/>
      <w:r w:rsidRPr="004D2ADE">
        <w:rPr>
          <w:rFonts w:ascii="GHEA Grapalat" w:hAnsi="GHEA Grapalat" w:cs="Sylfaen"/>
          <w:sz w:val="24"/>
          <w:szCs w:val="24"/>
        </w:rPr>
        <w:t>տարեվերջին</w:t>
      </w:r>
      <w:proofErr w:type="spellEnd"/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դադարեցրել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աշխատանքները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դիմել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r w:rsidRPr="004D2ADE">
        <w:rPr>
          <w:rFonts w:ascii="GHEA Grapalat" w:hAnsi="GHEA Grapalat"/>
          <w:sz w:val="24"/>
          <w:szCs w:val="24"/>
          <w:lang w:val="hy-AM"/>
        </w:rPr>
        <w:t>Առևտրի միջազգային պալատ</w:t>
      </w:r>
      <w:r w:rsidRPr="004D2ADE">
        <w:rPr>
          <w:rFonts w:ascii="GHEA Grapalat" w:hAnsi="GHEA Grapalat"/>
          <w:sz w:val="24"/>
          <w:szCs w:val="24"/>
          <w:lang w:val="en-GB"/>
        </w:rPr>
        <w:t xml:space="preserve">, իսկ </w:t>
      </w:r>
      <w:r w:rsidRPr="004D2AD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2019 թվականի հուլիսի 18-ին </w:t>
      </w:r>
      <w:proofErr w:type="spellStart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>Պատվիրատուն</w:t>
      </w:r>
      <w:proofErr w:type="spellEnd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 xml:space="preserve"> </w:t>
      </w:r>
      <w:proofErr w:type="spellStart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>ծանուցել</w:t>
      </w:r>
      <w:proofErr w:type="spellEnd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 xml:space="preserve"> է </w:t>
      </w:r>
      <w:proofErr w:type="spellStart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>Կապալառուին</w:t>
      </w:r>
      <w:proofErr w:type="spellEnd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 xml:space="preserve"> </w:t>
      </w:r>
      <w:proofErr w:type="spellStart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>պայմանագրի</w:t>
      </w:r>
      <w:proofErr w:type="spellEnd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 xml:space="preserve"> </w:t>
      </w:r>
      <w:proofErr w:type="spellStart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>լուծման</w:t>
      </w:r>
      <w:proofErr w:type="spellEnd"/>
      <w:r w:rsidRPr="004D2ADE">
        <w:rPr>
          <w:rFonts w:ascii="GHEA Grapalat" w:eastAsia="Arial Unicode MS" w:hAnsi="GHEA Grapalat" w:cs="Arial Unicode MS"/>
          <w:sz w:val="24"/>
          <w:szCs w:val="24"/>
          <w:lang w:val="en-GB"/>
        </w:rPr>
        <w:t xml:space="preserve"> վերաբերյալ: 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4D2ADE">
        <w:rPr>
          <w:rFonts w:ascii="GHEA Grapalat" w:hAnsi="GHEA Grapalat"/>
          <w:sz w:val="24"/>
          <w:szCs w:val="24"/>
          <w:lang w:val="en-GB"/>
        </w:rPr>
        <w:t>Հաշվի</w:t>
      </w:r>
      <w:proofErr w:type="spellEnd"/>
      <w:r w:rsidRPr="004D2ADE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4D2ADE">
        <w:rPr>
          <w:rFonts w:ascii="GHEA Grapalat" w:hAnsi="GHEA Grapalat"/>
          <w:sz w:val="24"/>
          <w:szCs w:val="24"/>
          <w:lang w:val="en-GB"/>
        </w:rPr>
        <w:t>առնելով</w:t>
      </w:r>
      <w:proofErr w:type="spellEnd"/>
      <w:r w:rsidRPr="004D2ADE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4D2ADE">
        <w:rPr>
          <w:rFonts w:ascii="GHEA Grapalat" w:hAnsi="GHEA Grapalat"/>
          <w:sz w:val="24"/>
          <w:szCs w:val="24"/>
          <w:lang w:val="en-GB"/>
        </w:rPr>
        <w:t>վերոգրյալը</w:t>
      </w:r>
      <w:proofErr w:type="spellEnd"/>
      <w:r w:rsidRPr="004D2ADE">
        <w:rPr>
          <w:rFonts w:ascii="GHEA Grapalat" w:hAnsi="GHEA Grapalat"/>
          <w:sz w:val="24"/>
          <w:szCs w:val="24"/>
          <w:lang w:val="en-GB"/>
        </w:rPr>
        <w:t>, ինչպես նաև մ</w:t>
      </w:r>
      <w:r w:rsidRPr="004D2ADE">
        <w:rPr>
          <w:rFonts w:ascii="GHEA Grapalat" w:hAnsi="GHEA Grapalat"/>
          <w:sz w:val="24"/>
          <w:szCs w:val="24"/>
          <w:lang w:val="hy-AM"/>
        </w:rPr>
        <w:t xml:space="preserve">ինչև </w:t>
      </w:r>
      <w:proofErr w:type="spellStart"/>
      <w:r w:rsidRPr="004D2ADE">
        <w:rPr>
          <w:rFonts w:ascii="GHEA Grapalat" w:hAnsi="GHEA Grapalat"/>
          <w:sz w:val="24"/>
          <w:szCs w:val="24"/>
          <w:lang w:val="en-GB"/>
        </w:rPr>
        <w:t>Ինժեների</w:t>
      </w:r>
      <w:proofErr w:type="spellEnd"/>
      <w:r w:rsidRPr="004D2ADE">
        <w:rPr>
          <w:rFonts w:ascii="GHEA Grapalat" w:hAnsi="GHEA Grapalat"/>
          <w:sz w:val="24"/>
          <w:szCs w:val="24"/>
          <w:lang w:val="en-GB"/>
        </w:rPr>
        <w:t xml:space="preserve"> կողմից </w:t>
      </w:r>
      <w:r w:rsidRPr="004D2ADE">
        <w:rPr>
          <w:rFonts w:ascii="GHEA Grapalat" w:hAnsi="GHEA Grapalat" w:cs="Sylfaen"/>
          <w:sz w:val="24"/>
          <w:szCs w:val="24"/>
        </w:rPr>
        <w:t>Երևան-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Արտաշատ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>, Երևան-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Արարատ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1)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ճանապարհահատվածների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հետավարտական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երաշխիքային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գումարների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վկայականի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թողարկումը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նպատակահարմար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օգտագործել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սույն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2019թ.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ՀՀ պետական բյուջեով նախատեսված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ԱԶԲ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3-ի շրջանակներում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իրականացված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աշխատանքները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վճարելու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համար: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4D2ADE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Ասիական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Հյուսիս-հարավ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միջանցքի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համակարգում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կառավարում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3</w:t>
      </w:r>
      <w:proofErr w:type="gramStart"/>
      <w:r w:rsidRPr="004D2ADE">
        <w:rPr>
          <w:rFonts w:ascii="GHEA Grapalat" w:hAnsi="GHEA Grapalat" w:cs="Sylfaen"/>
          <w:sz w:val="24"/>
          <w:szCs w:val="24"/>
        </w:rPr>
        <w:t>)»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r w:rsidRPr="004D2ADE">
        <w:rPr>
          <w:rFonts w:ascii="GHEA Grapalat" w:hAnsi="GHEA Grapalat"/>
          <w:sz w:val="24"/>
          <w:szCs w:val="24"/>
        </w:rPr>
        <w:t xml:space="preserve">2019թ. </w:t>
      </w:r>
      <w:r w:rsidRPr="004D2ADE">
        <w:rPr>
          <w:rFonts w:ascii="GHEA Grapalat" w:hAnsi="GHEA Grapalat" w:cs="Sylfaen"/>
          <w:sz w:val="24"/>
          <w:szCs w:val="24"/>
        </w:rPr>
        <w:t xml:space="preserve">ՀՀ պետական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11011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4861 «Այլ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ծախսեր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համաֆինանսավորման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նախատեսված է 125,834.8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որից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ֆինանսավորվել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60,721.2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Վերաբաշխման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հայտով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200,000.0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անհրաժեշտ է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հեղինակային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տեխնիկական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հսկողություն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իրականացնող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կազմակերպությունների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ծառայությունները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վճարելու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համար: Նշված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ավելացումը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առաջարկում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Ասիական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Հյուսիս-հարավ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միջանցքի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2)»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21006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5112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շինարարություն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նախատեսված միջոցների հաշվին: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4D2ADE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Ասիական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Հյուսիս-հարավ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միջանցքի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համակարգում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կառավարում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3</w:t>
      </w:r>
      <w:proofErr w:type="gramStart"/>
      <w:r w:rsidRPr="004D2ADE">
        <w:rPr>
          <w:rFonts w:ascii="GHEA Grapalat" w:hAnsi="GHEA Grapalat" w:cs="Sylfaen"/>
          <w:sz w:val="24"/>
          <w:szCs w:val="24"/>
        </w:rPr>
        <w:t>)»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r w:rsidRPr="004D2ADE">
        <w:rPr>
          <w:rFonts w:ascii="GHEA Grapalat" w:hAnsi="GHEA Grapalat"/>
          <w:sz w:val="24"/>
          <w:szCs w:val="24"/>
        </w:rPr>
        <w:t xml:space="preserve">2019թ. </w:t>
      </w:r>
      <w:r w:rsidRPr="004D2ADE">
        <w:rPr>
          <w:rFonts w:ascii="GHEA Grapalat" w:hAnsi="GHEA Grapalat" w:cs="Sylfaen"/>
          <w:sz w:val="24"/>
          <w:szCs w:val="24"/>
        </w:rPr>
        <w:t xml:space="preserve">ՀՀ պետական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11011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4214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ծառայություններ» և 4211 «Գործառնական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բանկային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ծառայություններ»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հոդվածներով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միջոցներով նախատեսված են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230.9  և 80.0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գումարներ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2-ի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3-ի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Կապալառուների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սպասարկող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բանկերին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սուրհանդակային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միջոցով և ՍՎԻՖՏ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համակարգով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բանկային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երաշխիքների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հետ կապված գործողությունների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են լրացուցիչ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ծախսեր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որոնք առաջարկում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4861 «Այլ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ծախսեր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նախատեսված միջոցների հաշվին: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4D2ADE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Կենսական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նշանակության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ցանցի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բարելավման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լրացուցիչ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շրջանակներում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համակարգում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կառավարում»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11006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4823 «Պարտադիր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վճարներ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2019թ.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պետական բյուջեով նախատեսված են 2,200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չափով միջոցներ: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ընթացքում կնքվել են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պայմանագրեր: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թույլտվության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պարտադիր վճարների հետ </w:t>
      </w:r>
      <w:r w:rsidRPr="004D2ADE">
        <w:rPr>
          <w:rFonts w:ascii="GHEA Grapalat" w:hAnsi="GHEA Grapalat" w:cs="Sylfaen"/>
          <w:sz w:val="24"/>
          <w:szCs w:val="24"/>
        </w:rPr>
        <w:lastRenderedPageBreak/>
        <w:t xml:space="preserve">կապված՝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վերոնշյալ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նախատեսել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640.0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իսկ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համաֆինանսավորման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՝ 160.0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որոնք առաջարկում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Կենսական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նշանակության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ցանցի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բարելավման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լրացուցիչ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շրջանակներում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ավտոճանապարհների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բարեկարգման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աշխատանքներ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21003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5113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կապիտալ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վերանորոգում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հաշվին: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4D2ADE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Արտասահմանյան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գործուղումների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գծով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ծախսեր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4222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2019թ.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պետական բյուջեով միջոցներ նախատեսված են 960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չափով: 2019թ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հունիսին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Իտալիայում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Բանկի կողմից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անցկացվող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վերապատրաստման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դասընթացին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ՏԾԻԿ ՊՈԱԿ-ի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բաժնի պետը: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Գործուղման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ծախսերի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փոխհատուցման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հետ կապված՝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երրորդ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եռամսյակում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վերոնշյալ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նախատեսել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2,400.0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իսկ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համաֆինանսավորման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՝ 600.0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որոնք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իրականացնել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Կենսական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նշանակության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ցանցի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բարելավման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լրացուցիչ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շրջանակներում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ավտոճանապարհների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բարեկարգման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աշխատանքներ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21003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 5113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կապիտալ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վերանորոգում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հաշվին: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GB"/>
        </w:rPr>
      </w:pP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4D2ADE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կենսական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նշանակության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ցանցի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բարելավման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լրացուցիչ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շրջանակներում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ավտոճանապարհների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բարեկարգման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աշխատանքներ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21003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5129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2019թ.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Pr="004D2ADE">
        <w:rPr>
          <w:rFonts w:ascii="GHEA Grapalat" w:hAnsi="GHEA Grapalat" w:cs="Sylfaen"/>
          <w:sz w:val="24"/>
          <w:szCs w:val="24"/>
        </w:rPr>
        <w:t>պետական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բյուջեով նախատեսված են 23,500.0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չափով միջոցներ: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Ճանապարհային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նշանների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ձեռքբերման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տեղադրման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հետ կապված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վերոնշյալ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նախատեսել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ևս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9,300.0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. </w:t>
      </w:r>
      <w:proofErr w:type="gramStart"/>
      <w:r w:rsidRPr="004D2ADE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, իսկ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համաֆինանսավորման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՝ 2,200.0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>.</w:t>
      </w:r>
      <w:proofErr w:type="gramEnd"/>
      <w:r w:rsidRPr="004D2AD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: Նշված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ավելացումները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առաջարկում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Ասիական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բանկի աջակցությամբ իրականացվող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Հյուսիս-հարավ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միջանցքի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զարգացման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վարկային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ծրագրի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Տրանշ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2)»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21006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միջոցառման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5112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Շենքերի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շինությունների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շինարարություն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նախատեսված միջոցների հաշվին:</w:t>
      </w:r>
    </w:p>
    <w:p w:rsidR="004D2ADE" w:rsidRPr="004D2ADE" w:rsidRDefault="004D2ADE" w:rsidP="004D2A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4D2ADE" w:rsidRPr="004D2ADE" w:rsidRDefault="004D2ADE" w:rsidP="004D2ADE">
      <w:pPr>
        <w:spacing w:after="0"/>
        <w:ind w:firstLine="284"/>
        <w:jc w:val="both"/>
        <w:rPr>
          <w:rFonts w:ascii="GHEA Grapalat" w:hAnsi="GHEA Grapalat" w:cs="Sylfaen"/>
          <w:sz w:val="24"/>
          <w:szCs w:val="24"/>
        </w:rPr>
      </w:pPr>
    </w:p>
    <w:p w:rsidR="004D2ADE" w:rsidRPr="004D2ADE" w:rsidRDefault="004D2ADE" w:rsidP="004D2ADE">
      <w:pPr>
        <w:spacing w:after="0"/>
        <w:ind w:firstLine="284"/>
        <w:jc w:val="both"/>
        <w:rPr>
          <w:rFonts w:ascii="GHEA Grapalat" w:hAnsi="GHEA Grapalat"/>
          <w:sz w:val="24"/>
          <w:szCs w:val="24"/>
        </w:rPr>
      </w:pPr>
    </w:p>
    <w:p w:rsidR="004D2ADE" w:rsidRPr="004D2ADE" w:rsidRDefault="004D2ADE" w:rsidP="004D2ADE">
      <w:pPr>
        <w:spacing w:after="0" w:line="360" w:lineRule="auto"/>
        <w:ind w:firstLine="708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4D2ADE">
        <w:rPr>
          <w:rFonts w:ascii="GHEA Grapalat" w:hAnsi="GHEA Grapalat" w:cs="GHEA Grapalat"/>
          <w:sz w:val="24"/>
          <w:szCs w:val="24"/>
          <w:lang w:val="fr-FR"/>
        </w:rPr>
        <w:br w:type="page"/>
      </w:r>
    </w:p>
    <w:p w:rsidR="004D2ADE" w:rsidRPr="004D2ADE" w:rsidRDefault="004D2ADE" w:rsidP="004D2ADE">
      <w:pPr>
        <w:spacing w:after="0" w:line="360" w:lineRule="auto"/>
        <w:ind w:firstLine="708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4D2ADE" w:rsidRPr="004D2ADE" w:rsidRDefault="004D2ADE" w:rsidP="004D2ADE">
      <w:pPr>
        <w:spacing w:after="0" w:line="360" w:lineRule="auto"/>
        <w:ind w:firstLine="708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4D2ADE" w:rsidRPr="00391B93" w:rsidRDefault="004D2ADE" w:rsidP="00391B93">
      <w:pPr>
        <w:spacing w:after="0"/>
        <w:ind w:left="45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4D2ADE" w:rsidRPr="00391B93" w:rsidRDefault="004D2ADE" w:rsidP="00391B93">
      <w:pPr>
        <w:spacing w:after="0"/>
        <w:ind w:left="45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ՀՀ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կատարելու մասին» 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4D2ADE" w:rsidRPr="004D2ADE" w:rsidRDefault="004D2ADE" w:rsidP="004D2ADE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D2ADE" w:rsidRPr="004D2ADE" w:rsidRDefault="004D2ADE" w:rsidP="004D2ADE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4D2ADE">
        <w:rPr>
          <w:rFonts w:ascii="GHEA Grapalat" w:hAnsi="GHEA Grapalat" w:cs="Sylfaen"/>
        </w:rPr>
        <w:t>ՀՀ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կառավարության</w:t>
      </w:r>
      <w:r w:rsidRPr="004D2ADE">
        <w:rPr>
          <w:rFonts w:ascii="GHEA Grapalat" w:hAnsi="GHEA Grapalat" w:cs="Sylfaen"/>
          <w:lang w:val="af-ZA"/>
        </w:rPr>
        <w:t xml:space="preserve"> «</w:t>
      </w:r>
      <w:r w:rsidRPr="004D2ADE">
        <w:rPr>
          <w:rFonts w:ascii="GHEA Grapalat" w:hAnsi="GHEA Grapalat" w:cs="Sylfaen"/>
        </w:rPr>
        <w:t>Հայաստանի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Հանրապետության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պետական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բյուջեում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վերաբաշխում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և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Հայաստանի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D2ADE">
        <w:rPr>
          <w:rFonts w:ascii="GHEA Grapalat" w:hAnsi="GHEA Grapalat" w:cs="Sylfaen"/>
        </w:rPr>
        <w:t>Հանրապետության</w:t>
      </w:r>
      <w:proofErr w:type="spellEnd"/>
      <w:r w:rsidRPr="004D2ADE">
        <w:rPr>
          <w:rFonts w:ascii="GHEA Grapalat" w:hAnsi="GHEA Grapalat" w:cs="Sylfaen"/>
          <w:lang w:val="af-ZA"/>
        </w:rPr>
        <w:t xml:space="preserve">  </w:t>
      </w:r>
      <w:r w:rsidRPr="004D2ADE">
        <w:rPr>
          <w:rFonts w:ascii="GHEA Grapalat" w:hAnsi="GHEA Grapalat" w:cs="Sylfaen"/>
        </w:rPr>
        <w:t>կառավարության</w:t>
      </w:r>
      <w:proofErr w:type="gramEnd"/>
      <w:r w:rsidRPr="004D2ADE">
        <w:rPr>
          <w:rFonts w:ascii="GHEA Grapalat" w:hAnsi="GHEA Grapalat" w:cs="Sylfaen"/>
          <w:lang w:val="af-ZA"/>
        </w:rPr>
        <w:t xml:space="preserve"> 2018 </w:t>
      </w:r>
      <w:r w:rsidRPr="004D2ADE">
        <w:rPr>
          <w:rFonts w:ascii="GHEA Grapalat" w:hAnsi="GHEA Grapalat" w:cs="Sylfaen"/>
        </w:rPr>
        <w:t>թվականի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դեկտեմբերի</w:t>
      </w:r>
      <w:r w:rsidRPr="004D2ADE">
        <w:rPr>
          <w:rFonts w:ascii="GHEA Grapalat" w:hAnsi="GHEA Grapalat" w:cs="Sylfaen"/>
          <w:lang w:val="af-ZA"/>
        </w:rPr>
        <w:t xml:space="preserve"> 27-</w:t>
      </w:r>
      <w:r w:rsidRPr="004D2ADE">
        <w:rPr>
          <w:rFonts w:ascii="GHEA Grapalat" w:hAnsi="GHEA Grapalat" w:cs="Sylfaen"/>
        </w:rPr>
        <w:t>ի</w:t>
      </w:r>
      <w:r w:rsidRPr="004D2ADE">
        <w:rPr>
          <w:rFonts w:ascii="GHEA Grapalat" w:hAnsi="GHEA Grapalat" w:cs="Sylfaen"/>
          <w:lang w:val="af-ZA"/>
        </w:rPr>
        <w:t xml:space="preserve"> N 1515-</w:t>
      </w:r>
      <w:r w:rsidRPr="004D2ADE">
        <w:rPr>
          <w:rFonts w:ascii="GHEA Grapalat" w:hAnsi="GHEA Grapalat" w:cs="Sylfaen"/>
        </w:rPr>
        <w:t>Ն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որոշման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մեջ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փոփոխություններ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կատարելու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մասին</w:t>
      </w:r>
      <w:r w:rsidRPr="004D2ADE">
        <w:rPr>
          <w:rFonts w:ascii="GHEA Grapalat" w:hAnsi="GHEA Grapalat" w:cs="Sylfaen"/>
          <w:lang w:val="af-ZA"/>
        </w:rPr>
        <w:t xml:space="preserve">» </w:t>
      </w:r>
      <w:r w:rsidRPr="004D2ADE">
        <w:rPr>
          <w:rFonts w:ascii="GHEA Grapalat" w:hAnsi="GHEA Grapalat" w:cs="Sylfaen"/>
        </w:rPr>
        <w:t>որոշման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ընդունման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կապակցությամբ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այլ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իրավական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ակտերում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փոփոխություններ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կամ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լրացումներ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կատարելու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անհրաժեշտություն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չի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առաջանում</w:t>
      </w:r>
      <w:proofErr w:type="spellEnd"/>
      <w:r w:rsidRPr="004D2ADE">
        <w:rPr>
          <w:rFonts w:ascii="GHEA Grapalat" w:hAnsi="GHEA Grapalat" w:cs="Sylfaen"/>
          <w:lang w:val="af-ZA"/>
        </w:rPr>
        <w:t>:</w:t>
      </w:r>
    </w:p>
    <w:p w:rsidR="004D2ADE" w:rsidRPr="004D2ADE" w:rsidRDefault="004D2ADE" w:rsidP="004D2ADE">
      <w:pPr>
        <w:spacing w:after="0"/>
        <w:ind w:left="3600" w:right="6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D2ADE">
        <w:rPr>
          <w:rFonts w:ascii="GHEA Grapalat" w:hAnsi="GHEA Grapalat" w:cs="Sylfaen"/>
          <w:sz w:val="24"/>
          <w:szCs w:val="24"/>
          <w:lang w:val="af-ZA"/>
        </w:rPr>
        <w:tab/>
      </w:r>
      <w:r w:rsidRPr="004D2ADE">
        <w:rPr>
          <w:rFonts w:ascii="GHEA Grapalat" w:hAnsi="GHEA Grapalat" w:cs="Sylfaen"/>
          <w:sz w:val="24"/>
          <w:szCs w:val="24"/>
          <w:lang w:val="af-ZA"/>
        </w:rPr>
        <w:tab/>
      </w:r>
      <w:r w:rsidRPr="004D2ADE">
        <w:rPr>
          <w:rFonts w:ascii="GHEA Grapalat" w:hAnsi="GHEA Grapalat" w:cs="Sylfaen"/>
          <w:sz w:val="24"/>
          <w:szCs w:val="24"/>
          <w:lang w:val="af-ZA"/>
        </w:rPr>
        <w:tab/>
      </w:r>
      <w:r w:rsidRPr="004D2ADE">
        <w:rPr>
          <w:rFonts w:ascii="GHEA Grapalat" w:hAnsi="GHEA Grapalat" w:cs="Sylfaen"/>
          <w:sz w:val="24"/>
          <w:szCs w:val="24"/>
          <w:lang w:val="af-ZA"/>
        </w:rPr>
        <w:tab/>
      </w:r>
      <w:r w:rsidRPr="004D2ADE">
        <w:rPr>
          <w:rFonts w:ascii="GHEA Grapalat" w:hAnsi="GHEA Grapalat" w:cs="Sylfaen"/>
          <w:sz w:val="24"/>
          <w:szCs w:val="24"/>
          <w:lang w:val="af-ZA"/>
        </w:rPr>
        <w:tab/>
      </w:r>
      <w:r w:rsidRPr="004D2ADE">
        <w:rPr>
          <w:rFonts w:ascii="GHEA Grapalat" w:hAnsi="GHEA Grapalat" w:cs="Sylfaen"/>
          <w:sz w:val="24"/>
          <w:szCs w:val="24"/>
          <w:lang w:val="af-ZA"/>
        </w:rPr>
        <w:tab/>
      </w:r>
      <w:r w:rsidRPr="004D2ADE">
        <w:rPr>
          <w:rFonts w:ascii="GHEA Grapalat" w:hAnsi="GHEA Grapalat" w:cs="Sylfaen"/>
          <w:sz w:val="24"/>
          <w:szCs w:val="24"/>
          <w:lang w:val="af-ZA"/>
        </w:rPr>
        <w:tab/>
      </w:r>
      <w:r w:rsidRPr="004D2ADE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4D2ADE">
        <w:rPr>
          <w:rFonts w:ascii="GHEA Grapalat" w:hAnsi="GHEA Grapalat" w:cs="Sylfaen"/>
          <w:sz w:val="24"/>
          <w:szCs w:val="24"/>
          <w:lang w:val="af-ZA"/>
        </w:rPr>
        <w:tab/>
        <w:t xml:space="preserve">   </w:t>
      </w:r>
    </w:p>
    <w:p w:rsidR="004D2ADE" w:rsidRPr="004D2ADE" w:rsidRDefault="004D2ADE" w:rsidP="004D2ADE">
      <w:pPr>
        <w:spacing w:after="0"/>
        <w:ind w:left="450" w:right="690"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D2ADE" w:rsidRPr="004D2ADE" w:rsidRDefault="004D2ADE" w:rsidP="004D2ADE">
      <w:pPr>
        <w:spacing w:after="0"/>
        <w:ind w:left="450" w:right="690"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D2ADE" w:rsidRPr="00391B93" w:rsidRDefault="004D2ADE" w:rsidP="004D2ADE">
      <w:pPr>
        <w:spacing w:after="0"/>
        <w:ind w:left="45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4D2ADE" w:rsidRPr="00391B93" w:rsidRDefault="004D2ADE" w:rsidP="004D2ADE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կատարելու մասին» որոշման  </w:t>
      </w:r>
      <w:proofErr w:type="spellStart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proofErr w:type="spellEnd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proofErr w:type="spellStart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proofErr w:type="spellEnd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proofErr w:type="spellStart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</w:t>
      </w:r>
      <w:proofErr w:type="spellEnd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պետական  </w:t>
      </w:r>
      <w:proofErr w:type="spellStart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բյուջեում</w:t>
      </w:r>
      <w:proofErr w:type="spellEnd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ծախսերի  և  </w:t>
      </w:r>
      <w:proofErr w:type="spellStart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եկամուտների</w:t>
      </w:r>
      <w:proofErr w:type="spellEnd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proofErr w:type="spellStart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ավելացման</w:t>
      </w:r>
      <w:proofErr w:type="spellEnd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կամ  </w:t>
      </w:r>
      <w:proofErr w:type="spellStart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նվազման</w:t>
      </w:r>
      <w:proofErr w:type="spellEnd"/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մասին</w:t>
      </w:r>
    </w:p>
    <w:p w:rsidR="004D2ADE" w:rsidRPr="004D2ADE" w:rsidRDefault="004D2ADE" w:rsidP="004D2ADE">
      <w:pPr>
        <w:spacing w:after="0"/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4D2ADE" w:rsidRPr="004D2ADE" w:rsidRDefault="004D2ADE" w:rsidP="004D2ADE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4D2ADE">
        <w:rPr>
          <w:rFonts w:ascii="GHEA Grapalat" w:hAnsi="GHEA Grapalat" w:cs="Sylfaen"/>
        </w:rPr>
        <w:t>ՀՀ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կառավարության</w:t>
      </w:r>
      <w:r w:rsidRPr="004D2ADE">
        <w:rPr>
          <w:rFonts w:ascii="GHEA Grapalat" w:hAnsi="GHEA Grapalat" w:cs="Sylfaen"/>
          <w:lang w:val="af-ZA"/>
        </w:rPr>
        <w:t xml:space="preserve"> «</w:t>
      </w:r>
      <w:r w:rsidRPr="004D2ADE">
        <w:rPr>
          <w:rFonts w:ascii="GHEA Grapalat" w:hAnsi="GHEA Grapalat" w:cs="Sylfaen"/>
        </w:rPr>
        <w:t>Հայաստանի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Հանրապետության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պետական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բյուջեում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վերաբաշխում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և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Հայաստանի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D2ADE">
        <w:rPr>
          <w:rFonts w:ascii="GHEA Grapalat" w:hAnsi="GHEA Grapalat" w:cs="Sylfaen"/>
        </w:rPr>
        <w:t>Հանրապետության</w:t>
      </w:r>
      <w:proofErr w:type="spellEnd"/>
      <w:r w:rsidRPr="004D2ADE">
        <w:rPr>
          <w:rFonts w:ascii="GHEA Grapalat" w:hAnsi="GHEA Grapalat" w:cs="Sylfaen"/>
          <w:lang w:val="af-ZA"/>
        </w:rPr>
        <w:t xml:space="preserve">  </w:t>
      </w:r>
      <w:r w:rsidRPr="004D2ADE">
        <w:rPr>
          <w:rFonts w:ascii="GHEA Grapalat" w:hAnsi="GHEA Grapalat" w:cs="Sylfaen"/>
        </w:rPr>
        <w:t>կառավարության</w:t>
      </w:r>
      <w:proofErr w:type="gramEnd"/>
      <w:r w:rsidRPr="004D2ADE">
        <w:rPr>
          <w:rFonts w:ascii="GHEA Grapalat" w:hAnsi="GHEA Grapalat" w:cs="Sylfaen"/>
          <w:lang w:val="af-ZA"/>
        </w:rPr>
        <w:t xml:space="preserve"> 2018 </w:t>
      </w:r>
      <w:r w:rsidRPr="004D2ADE">
        <w:rPr>
          <w:rFonts w:ascii="GHEA Grapalat" w:hAnsi="GHEA Grapalat" w:cs="Sylfaen"/>
        </w:rPr>
        <w:t>թվականի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դեկտեմբերի</w:t>
      </w:r>
      <w:r w:rsidRPr="004D2ADE">
        <w:rPr>
          <w:rFonts w:ascii="GHEA Grapalat" w:hAnsi="GHEA Grapalat" w:cs="Sylfaen"/>
          <w:lang w:val="af-ZA"/>
        </w:rPr>
        <w:t xml:space="preserve"> 27-</w:t>
      </w:r>
      <w:r w:rsidRPr="004D2ADE">
        <w:rPr>
          <w:rFonts w:ascii="GHEA Grapalat" w:hAnsi="GHEA Grapalat" w:cs="Sylfaen"/>
        </w:rPr>
        <w:t>ի</w:t>
      </w:r>
      <w:r w:rsidRPr="004D2ADE">
        <w:rPr>
          <w:rFonts w:ascii="GHEA Grapalat" w:hAnsi="GHEA Grapalat" w:cs="Sylfaen"/>
          <w:lang w:val="af-ZA"/>
        </w:rPr>
        <w:t xml:space="preserve"> N 1515-</w:t>
      </w:r>
      <w:r w:rsidRPr="004D2ADE">
        <w:rPr>
          <w:rFonts w:ascii="GHEA Grapalat" w:hAnsi="GHEA Grapalat" w:cs="Sylfaen"/>
        </w:rPr>
        <w:t>Ն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որոշման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մեջ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փոփոխություններ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կատարելու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մասին</w:t>
      </w:r>
      <w:r w:rsidRPr="004D2ADE">
        <w:rPr>
          <w:rFonts w:ascii="GHEA Grapalat" w:hAnsi="GHEA Grapalat" w:cs="Sylfaen"/>
          <w:lang w:val="af-ZA"/>
        </w:rPr>
        <w:t xml:space="preserve">» </w:t>
      </w:r>
      <w:r w:rsidRPr="004D2ADE">
        <w:rPr>
          <w:rFonts w:ascii="GHEA Grapalat" w:hAnsi="GHEA Grapalat" w:cs="Sylfaen"/>
        </w:rPr>
        <w:t>որոշման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ընդունման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կապակցությամբ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պետական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բյուջեում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առաջացնում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է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լրացուցիչ</w:t>
      </w:r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ծախսերի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անհրաժեշտություն</w:t>
      </w:r>
      <w:proofErr w:type="spellEnd"/>
      <w:r w:rsidRPr="004D2ADE">
        <w:rPr>
          <w:rFonts w:ascii="GHEA Grapalat" w:hAnsi="GHEA Grapalat" w:cs="Sylfaen"/>
          <w:lang w:val="af-ZA"/>
        </w:rPr>
        <w:t xml:space="preserve">, </w:t>
      </w:r>
      <w:proofErr w:type="spellStart"/>
      <w:r w:rsidRPr="004D2ADE">
        <w:rPr>
          <w:rFonts w:ascii="GHEA Grapalat" w:hAnsi="GHEA Grapalat" w:cs="Sylfaen"/>
        </w:rPr>
        <w:t>որի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վերաբերյալ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կներկայացվի</w:t>
      </w:r>
      <w:proofErr w:type="spellEnd"/>
      <w:r w:rsidRPr="004D2ADE">
        <w:rPr>
          <w:rFonts w:ascii="GHEA Grapalat" w:hAnsi="GHEA Grapalat" w:cs="Sylfaen"/>
          <w:lang w:val="af-ZA"/>
        </w:rPr>
        <w:t xml:space="preserve"> </w:t>
      </w:r>
      <w:r w:rsidRPr="004D2ADE">
        <w:rPr>
          <w:rFonts w:ascii="GHEA Grapalat" w:hAnsi="GHEA Grapalat" w:cs="Sylfaen"/>
        </w:rPr>
        <w:t>լրացուցիչ</w:t>
      </w:r>
      <w:r w:rsidRPr="004D2ADE">
        <w:rPr>
          <w:rFonts w:ascii="GHEA Grapalat" w:hAnsi="GHEA Grapalat" w:cs="Sylfaen"/>
          <w:lang w:val="af-ZA"/>
        </w:rPr>
        <w:t xml:space="preserve"> </w:t>
      </w:r>
      <w:proofErr w:type="spellStart"/>
      <w:r w:rsidRPr="004D2ADE">
        <w:rPr>
          <w:rFonts w:ascii="GHEA Grapalat" w:hAnsi="GHEA Grapalat" w:cs="Sylfaen"/>
        </w:rPr>
        <w:t>առաջարկություն</w:t>
      </w:r>
      <w:proofErr w:type="spellEnd"/>
      <w:r w:rsidRPr="004D2ADE">
        <w:rPr>
          <w:rFonts w:ascii="GHEA Grapalat" w:hAnsi="GHEA Grapalat" w:cs="Sylfaen"/>
          <w:lang w:val="af-ZA"/>
        </w:rPr>
        <w:t>:</w:t>
      </w:r>
    </w:p>
    <w:p w:rsidR="004D2ADE" w:rsidRPr="004D2ADE" w:rsidRDefault="004D2ADE" w:rsidP="004D2ADE">
      <w:pPr>
        <w:spacing w:after="0"/>
        <w:ind w:left="450" w:right="690" w:firstLine="72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D2ADE" w:rsidRPr="004D2ADE" w:rsidRDefault="004D2ADE" w:rsidP="004D2ADE">
      <w:pPr>
        <w:spacing w:after="0" w:line="240" w:lineRule="auto"/>
        <w:rPr>
          <w:rFonts w:ascii="GHEA Grapalat" w:hAnsi="GHEA Grapalat" w:cs="Sylfaen"/>
          <w:sz w:val="24"/>
          <w:szCs w:val="24"/>
          <w:lang w:val="fr-FR"/>
        </w:rPr>
      </w:pPr>
      <w:r w:rsidRPr="004D2ADE">
        <w:rPr>
          <w:rFonts w:ascii="GHEA Grapalat" w:hAnsi="GHEA Grapalat" w:cs="Sylfaen"/>
          <w:sz w:val="24"/>
          <w:szCs w:val="24"/>
          <w:lang w:val="fr-FR"/>
        </w:rPr>
        <w:br w:type="page"/>
      </w:r>
    </w:p>
    <w:p w:rsidR="004D2ADE" w:rsidRPr="004D2ADE" w:rsidRDefault="004D2ADE" w:rsidP="004D2ADE">
      <w:pPr>
        <w:spacing w:after="0"/>
        <w:ind w:left="450" w:right="690" w:firstLine="72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D2ADE" w:rsidRPr="00391B93" w:rsidRDefault="004D2ADE" w:rsidP="004D2ADE">
      <w:pPr>
        <w:spacing w:after="0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91B93">
        <w:rPr>
          <w:rFonts w:ascii="GHEA Grapalat" w:hAnsi="GHEA Grapalat" w:cs="Sylfaen"/>
          <w:b/>
          <w:sz w:val="24"/>
          <w:szCs w:val="24"/>
        </w:rPr>
        <w:t>ՑԱՆԿ</w:t>
      </w:r>
    </w:p>
    <w:p w:rsidR="004D2ADE" w:rsidRPr="00391B93" w:rsidRDefault="004D2ADE" w:rsidP="004D2ADE">
      <w:pPr>
        <w:spacing w:after="0"/>
        <w:ind w:left="72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ՀՀ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կատարելու մասին»</w:t>
      </w:r>
      <w:r w:rsidRPr="00391B9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391B93">
        <w:rPr>
          <w:rFonts w:ascii="GHEA Grapalat" w:hAnsi="GHEA Grapalat" w:cs="Sylfaen"/>
          <w:b/>
          <w:sz w:val="24"/>
          <w:szCs w:val="24"/>
        </w:rPr>
        <w:t>որոշման</w:t>
      </w:r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հեղինակների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 (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մշակողների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>)</w:t>
      </w:r>
    </w:p>
    <w:p w:rsidR="004D2ADE" w:rsidRPr="004D2ADE" w:rsidRDefault="004D2ADE" w:rsidP="004D2ADE">
      <w:pPr>
        <w:spacing w:after="0"/>
        <w:ind w:left="450" w:right="690" w:firstLine="720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</w:p>
    <w:p w:rsidR="004D2ADE" w:rsidRPr="004D2ADE" w:rsidRDefault="004D2ADE" w:rsidP="004D2ADE">
      <w:pPr>
        <w:spacing w:after="0"/>
        <w:ind w:left="45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D2ADE">
        <w:rPr>
          <w:rFonts w:ascii="GHEA Grapalat" w:hAnsi="GHEA Grapalat" w:cs="Sylfaen"/>
          <w:sz w:val="24"/>
          <w:szCs w:val="24"/>
        </w:rPr>
        <w:t>ՀՀ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կառավարության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4D2ADE">
        <w:rPr>
          <w:rFonts w:ascii="GHEA Grapalat" w:hAnsi="GHEA Grapalat" w:cs="Sylfaen"/>
          <w:sz w:val="24"/>
          <w:szCs w:val="24"/>
        </w:rPr>
        <w:t>Հայաստանի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պետական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և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Հայաստանի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4D2AD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4D2ADE">
        <w:rPr>
          <w:rFonts w:ascii="GHEA Grapalat" w:hAnsi="GHEA Grapalat" w:cs="Sylfaen"/>
          <w:sz w:val="24"/>
          <w:szCs w:val="24"/>
        </w:rPr>
        <w:t>կառավարության</w:t>
      </w:r>
      <w:proofErr w:type="gram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4D2ADE">
        <w:rPr>
          <w:rFonts w:ascii="GHEA Grapalat" w:hAnsi="GHEA Grapalat" w:cs="Sylfaen"/>
          <w:sz w:val="24"/>
          <w:szCs w:val="24"/>
        </w:rPr>
        <w:t>թվականի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դեկտեմբերի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 w:rsidRPr="004D2ADE">
        <w:rPr>
          <w:rFonts w:ascii="GHEA Grapalat" w:hAnsi="GHEA Grapalat" w:cs="Sylfaen"/>
          <w:sz w:val="24"/>
          <w:szCs w:val="24"/>
        </w:rPr>
        <w:t>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N 1515-</w:t>
      </w:r>
      <w:r w:rsidRPr="004D2ADE">
        <w:rPr>
          <w:rFonts w:ascii="GHEA Grapalat" w:hAnsi="GHEA Grapalat" w:cs="Sylfaen"/>
          <w:sz w:val="24"/>
          <w:szCs w:val="24"/>
        </w:rPr>
        <w:t>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որոշման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մեջ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կատարելու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մասին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D2ADE">
        <w:rPr>
          <w:rFonts w:ascii="GHEA Grapalat" w:hAnsi="GHEA Grapalat" w:cs="Sylfaen"/>
          <w:sz w:val="24"/>
          <w:szCs w:val="24"/>
        </w:rPr>
        <w:t>որոշման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նախագիծը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է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Հայաստանի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 xml:space="preserve">տարածքային կառավարման և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4D2ADE">
        <w:rPr>
          <w:rFonts w:ascii="GHEA Grapalat" w:hAnsi="GHEA Grapalat" w:cs="Sylfaen"/>
          <w:sz w:val="24"/>
          <w:szCs w:val="24"/>
        </w:rPr>
        <w:t xml:space="preserve"> նախարարության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կողմից</w:t>
      </w:r>
      <w:r w:rsidRPr="004D2AD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D2ADE" w:rsidRPr="004D2ADE" w:rsidRDefault="004D2ADE" w:rsidP="004D2ADE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4D2ADE">
        <w:rPr>
          <w:rFonts w:ascii="GHEA Grapalat" w:hAnsi="GHEA Grapalat" w:cs="Sylfaen"/>
          <w:lang w:val="fr-FR"/>
        </w:rPr>
        <w:tab/>
      </w:r>
      <w:r w:rsidRPr="004D2ADE">
        <w:rPr>
          <w:rFonts w:ascii="GHEA Grapalat" w:hAnsi="GHEA Grapalat" w:cs="Sylfaen"/>
          <w:lang w:val="fr-FR"/>
        </w:rPr>
        <w:tab/>
      </w:r>
      <w:r w:rsidRPr="004D2ADE">
        <w:rPr>
          <w:rFonts w:ascii="GHEA Grapalat" w:hAnsi="GHEA Grapalat" w:cs="Sylfaen"/>
          <w:lang w:val="fr-FR"/>
        </w:rPr>
        <w:tab/>
      </w:r>
      <w:r w:rsidRPr="004D2ADE">
        <w:rPr>
          <w:rFonts w:ascii="GHEA Grapalat" w:hAnsi="GHEA Grapalat" w:cs="Sylfaen"/>
          <w:lang w:val="fr-FR"/>
        </w:rPr>
        <w:tab/>
      </w:r>
      <w:r w:rsidRPr="004D2ADE">
        <w:rPr>
          <w:rFonts w:ascii="GHEA Grapalat" w:hAnsi="GHEA Grapalat" w:cs="Sylfaen"/>
          <w:lang w:val="fr-FR"/>
        </w:rPr>
        <w:tab/>
      </w:r>
      <w:r w:rsidRPr="004D2ADE">
        <w:rPr>
          <w:rFonts w:ascii="GHEA Grapalat" w:hAnsi="GHEA Grapalat" w:cs="Sylfaen"/>
          <w:lang w:val="fr-FR"/>
        </w:rPr>
        <w:tab/>
      </w:r>
    </w:p>
    <w:p w:rsidR="004D2ADE" w:rsidRPr="004D2ADE" w:rsidRDefault="004D2ADE" w:rsidP="004D2ADE">
      <w:pPr>
        <w:spacing w:after="0"/>
        <w:ind w:left="450" w:right="690" w:firstLine="72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D2ADE" w:rsidRPr="00391B93" w:rsidRDefault="004D2ADE" w:rsidP="004D2ADE">
      <w:pPr>
        <w:spacing w:after="0"/>
        <w:ind w:right="6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91B93">
        <w:rPr>
          <w:rFonts w:ascii="GHEA Grapalat" w:hAnsi="GHEA Grapalat" w:cs="Sylfaen"/>
          <w:b/>
          <w:sz w:val="24"/>
          <w:szCs w:val="24"/>
        </w:rPr>
        <w:t>ՑԱՆԿ</w:t>
      </w:r>
    </w:p>
    <w:p w:rsidR="004D2ADE" w:rsidRPr="00391B93" w:rsidRDefault="004D2ADE" w:rsidP="004D2ADE">
      <w:pPr>
        <w:spacing w:after="0"/>
        <w:ind w:left="72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91B93">
        <w:rPr>
          <w:rFonts w:ascii="GHEA Grapalat" w:hAnsi="GHEA Grapalat" w:cs="Sylfaen"/>
          <w:b/>
          <w:sz w:val="24"/>
          <w:szCs w:val="24"/>
        </w:rPr>
        <w:t>Իրավական</w:t>
      </w:r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B93">
        <w:rPr>
          <w:rFonts w:ascii="GHEA Grapalat" w:hAnsi="GHEA Grapalat" w:cs="Sylfaen"/>
          <w:b/>
          <w:sz w:val="24"/>
          <w:szCs w:val="24"/>
        </w:rPr>
        <w:t>ակտերի</w:t>
      </w:r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որոնց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հիման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վրա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B93">
        <w:rPr>
          <w:rFonts w:ascii="GHEA Grapalat" w:hAnsi="GHEA Grapalat" w:cs="Sylfaen"/>
          <w:b/>
          <w:sz w:val="24"/>
          <w:szCs w:val="24"/>
        </w:rPr>
        <w:t>կամ</w:t>
      </w:r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որոնցից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օգտվելով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91B93">
        <w:rPr>
          <w:rFonts w:ascii="GHEA Grapalat" w:hAnsi="GHEA Grapalat" w:cs="Sylfaen"/>
          <w:b/>
          <w:sz w:val="24"/>
          <w:szCs w:val="24"/>
        </w:rPr>
        <w:t>մշակվել</w:t>
      </w:r>
      <w:proofErr w:type="spellEnd"/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B93">
        <w:rPr>
          <w:rFonts w:ascii="GHEA Grapalat" w:hAnsi="GHEA Grapalat" w:cs="Sylfaen"/>
          <w:b/>
          <w:sz w:val="24"/>
          <w:szCs w:val="24"/>
        </w:rPr>
        <w:t>է</w:t>
      </w:r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B93">
        <w:rPr>
          <w:rFonts w:ascii="GHEA Grapalat" w:hAnsi="GHEA Grapalat" w:cs="Sylfaen"/>
          <w:b/>
          <w:bCs/>
          <w:sz w:val="24"/>
          <w:szCs w:val="24"/>
          <w:lang w:val="hy-AM"/>
        </w:rPr>
        <w:t>ՀՀ կառավարության «Հայաստանի Հանրապետության պետական բյուջեում վերաբաշխում և Հայաստանի Հանրապետության կառավարության 2018 թվականի դեկտեմբերի 27-ի N 1515-Ն որոշման մեջ փոփոխություններ կատարելու մասին»</w:t>
      </w:r>
      <w:r w:rsidRPr="00391B9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391B93">
        <w:rPr>
          <w:rFonts w:ascii="GHEA Grapalat" w:hAnsi="GHEA Grapalat" w:cs="Sylfaen"/>
          <w:b/>
          <w:sz w:val="24"/>
          <w:szCs w:val="24"/>
        </w:rPr>
        <w:t>որոշման</w:t>
      </w:r>
      <w:r w:rsidRPr="00391B9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B93">
        <w:rPr>
          <w:rFonts w:ascii="GHEA Grapalat" w:hAnsi="GHEA Grapalat" w:cs="Sylfaen"/>
          <w:b/>
          <w:sz w:val="24"/>
          <w:szCs w:val="24"/>
        </w:rPr>
        <w:t>նախագիծը</w:t>
      </w:r>
    </w:p>
    <w:p w:rsidR="004D2ADE" w:rsidRPr="004D2ADE" w:rsidRDefault="004D2ADE" w:rsidP="004D2ADE">
      <w:pPr>
        <w:spacing w:after="0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4D2ADE" w:rsidRPr="004D2ADE" w:rsidRDefault="004D2ADE" w:rsidP="004D2ADE">
      <w:pPr>
        <w:spacing w:after="0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D2ADE">
        <w:rPr>
          <w:rFonts w:ascii="GHEA Grapalat" w:hAnsi="GHEA Grapalat" w:cs="Sylfaen"/>
          <w:sz w:val="24"/>
          <w:szCs w:val="24"/>
        </w:rPr>
        <w:t>ՀՀ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կառավարության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4D2ADE">
        <w:rPr>
          <w:rFonts w:ascii="GHEA Grapalat" w:hAnsi="GHEA Grapalat" w:cs="Sylfaen"/>
          <w:sz w:val="24"/>
          <w:szCs w:val="24"/>
        </w:rPr>
        <w:t>Հայաստանի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պետական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վերաբաշխում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և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Հայաստանի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կառավարության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4D2ADE">
        <w:rPr>
          <w:rFonts w:ascii="GHEA Grapalat" w:hAnsi="GHEA Grapalat" w:cs="Sylfaen"/>
          <w:sz w:val="24"/>
          <w:szCs w:val="24"/>
        </w:rPr>
        <w:t>թվականի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դեկտեմբերի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27-</w:t>
      </w:r>
      <w:r w:rsidRPr="004D2ADE">
        <w:rPr>
          <w:rFonts w:ascii="GHEA Grapalat" w:hAnsi="GHEA Grapalat" w:cs="Sylfaen"/>
          <w:sz w:val="24"/>
          <w:szCs w:val="24"/>
        </w:rPr>
        <w:t>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N 1515-</w:t>
      </w:r>
      <w:r w:rsidRPr="004D2ADE">
        <w:rPr>
          <w:rFonts w:ascii="GHEA Grapalat" w:hAnsi="GHEA Grapalat" w:cs="Sylfaen"/>
          <w:sz w:val="24"/>
          <w:szCs w:val="24"/>
        </w:rPr>
        <w:t>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որոշման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մեջ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կատարելու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մասին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D2ADE">
        <w:rPr>
          <w:rFonts w:ascii="GHEA Grapalat" w:hAnsi="GHEA Grapalat" w:cs="Sylfaen"/>
          <w:sz w:val="24"/>
          <w:szCs w:val="24"/>
        </w:rPr>
        <w:t>որոշման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նախագիծը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է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իրավական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ակտերի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մասին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D2ADE">
        <w:rPr>
          <w:rFonts w:ascii="GHEA Grapalat" w:hAnsi="GHEA Grapalat" w:cs="Sylfaen"/>
          <w:sz w:val="24"/>
          <w:szCs w:val="24"/>
        </w:rPr>
        <w:t>և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մասին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D2ADE">
        <w:rPr>
          <w:rFonts w:ascii="GHEA Grapalat" w:hAnsi="GHEA Grapalat" w:cs="Sylfaen"/>
          <w:sz w:val="24"/>
          <w:szCs w:val="24"/>
        </w:rPr>
        <w:t>ՀՀ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ADE">
        <w:rPr>
          <w:rFonts w:ascii="GHEA Grapalat" w:hAnsi="GHEA Grapalat" w:cs="Sylfaen"/>
          <w:sz w:val="24"/>
          <w:szCs w:val="24"/>
        </w:rPr>
        <w:t>օրենքների</w:t>
      </w:r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D2ADE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4D2ADE">
        <w:rPr>
          <w:rFonts w:ascii="GHEA Grapalat" w:hAnsi="GHEA Grapalat" w:cs="Sylfaen"/>
          <w:sz w:val="24"/>
          <w:szCs w:val="24"/>
          <w:lang w:val="fr-FR"/>
        </w:rPr>
        <w:t>:</w:t>
      </w:r>
      <w:bookmarkStart w:id="0" w:name="_GoBack"/>
      <w:bookmarkEnd w:id="0"/>
    </w:p>
    <w:sectPr w:rsidR="004D2ADE" w:rsidRPr="004D2ADE" w:rsidSect="004D2ADE">
      <w:pgSz w:w="12240" w:h="15840"/>
      <w:pgMar w:top="272" w:right="448" w:bottom="1712" w:left="720" w:header="181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65" w:rsidRDefault="00676165" w:rsidP="004D2ADE">
      <w:pPr>
        <w:spacing w:after="0" w:line="240" w:lineRule="auto"/>
      </w:pPr>
      <w:r>
        <w:separator/>
      </w:r>
    </w:p>
  </w:endnote>
  <w:endnote w:type="continuationSeparator" w:id="0">
    <w:p w:rsidR="00676165" w:rsidRDefault="00676165" w:rsidP="004D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65" w:rsidRDefault="00676165" w:rsidP="004D2ADE">
      <w:pPr>
        <w:spacing w:after="0" w:line="240" w:lineRule="auto"/>
      </w:pPr>
      <w:r>
        <w:separator/>
      </w:r>
    </w:p>
  </w:footnote>
  <w:footnote w:type="continuationSeparator" w:id="0">
    <w:p w:rsidR="00676165" w:rsidRDefault="00676165" w:rsidP="004D2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DE"/>
    <w:rsid w:val="001A1811"/>
    <w:rsid w:val="00391B93"/>
    <w:rsid w:val="003F059C"/>
    <w:rsid w:val="004D2ADE"/>
    <w:rsid w:val="00676165"/>
    <w:rsid w:val="00F1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DE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12EB1"/>
    <w:pPr>
      <w:keepNext/>
      <w:spacing w:after="0" w:line="240" w:lineRule="auto"/>
      <w:jc w:val="center"/>
      <w:outlineLvl w:val="0"/>
    </w:pPr>
    <w:rPr>
      <w:rFonts w:ascii="Arial Armenian" w:hAnsi="Arial Armeni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F12EB1"/>
    <w:pPr>
      <w:keepNext/>
      <w:spacing w:after="0" w:line="240" w:lineRule="auto"/>
      <w:jc w:val="center"/>
      <w:outlineLvl w:val="1"/>
    </w:pPr>
    <w:rPr>
      <w:rFonts w:ascii="Baltica" w:hAnsi="Baltica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12EB1"/>
    <w:pPr>
      <w:keepNext/>
      <w:spacing w:after="0" w:line="240" w:lineRule="auto"/>
      <w:ind w:right="630"/>
      <w:jc w:val="center"/>
      <w:outlineLvl w:val="2"/>
    </w:pPr>
    <w:rPr>
      <w:rFonts w:ascii="Times Armenian" w:hAnsi="Times Armenian"/>
      <w:sz w:val="3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2EB1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</w:rPr>
  </w:style>
  <w:style w:type="paragraph" w:styleId="Heading5">
    <w:name w:val="heading 5"/>
    <w:basedOn w:val="Normal"/>
    <w:next w:val="Normal"/>
    <w:link w:val="Heading5Char"/>
    <w:qFormat/>
    <w:rsid w:val="00F12EB1"/>
    <w:pPr>
      <w:keepNext/>
      <w:spacing w:after="0" w:line="240" w:lineRule="auto"/>
      <w:jc w:val="center"/>
      <w:outlineLvl w:val="4"/>
    </w:pPr>
    <w:rPr>
      <w:rFonts w:ascii="Times Armenian" w:hAnsi="Times Armenian"/>
      <w:b/>
      <w:sz w:val="28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12EB1"/>
    <w:pPr>
      <w:keepNext/>
      <w:spacing w:after="0" w:line="240" w:lineRule="auto"/>
      <w:ind w:left="-851"/>
      <w:outlineLvl w:val="5"/>
    </w:pPr>
    <w:rPr>
      <w:rFonts w:ascii="Times Armenian" w:hAnsi="Times Armenian"/>
      <w:sz w:val="36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12EB1"/>
    <w:pPr>
      <w:keepNext/>
      <w:spacing w:after="0" w:line="240" w:lineRule="auto"/>
      <w:ind w:left="-851"/>
      <w:outlineLvl w:val="6"/>
    </w:pPr>
    <w:rPr>
      <w:rFonts w:ascii="Times Armenian" w:hAnsi="Times Armenian"/>
      <w:sz w:val="24"/>
      <w:szCs w:val="20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F12EB1"/>
    <w:pPr>
      <w:keepNext/>
      <w:spacing w:after="0" w:line="240" w:lineRule="auto"/>
      <w:jc w:val="center"/>
      <w:outlineLvl w:val="7"/>
    </w:pPr>
    <w:rPr>
      <w:rFonts w:ascii="Arial Armenian" w:hAnsi="Arial Armeni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F12EB1"/>
    <w:pPr>
      <w:keepNext/>
      <w:spacing w:after="0" w:line="240" w:lineRule="auto"/>
      <w:jc w:val="center"/>
      <w:outlineLvl w:val="8"/>
    </w:pPr>
    <w:rPr>
      <w:rFonts w:ascii="Baltica" w:hAnsi="Baltica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EB1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F12EB1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F12EB1"/>
    <w:rPr>
      <w:rFonts w:ascii="Times Armenian" w:hAnsi="Times Armenian"/>
      <w:sz w:val="3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F12EB1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F12EB1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F12EB1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F12EB1"/>
    <w:rPr>
      <w:rFonts w:ascii="Times Armenian" w:hAnsi="Times Armenian"/>
      <w:sz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F12EB1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12EB1"/>
    <w:rPr>
      <w:rFonts w:ascii="Baltica" w:hAnsi="Baltica"/>
      <w:sz w:val="24"/>
      <w:lang w:val="en-GB" w:eastAsia="ru-RU"/>
    </w:rPr>
  </w:style>
  <w:style w:type="character" w:styleId="Strong">
    <w:name w:val="Strong"/>
    <w:basedOn w:val="DefaultParagraphFont"/>
    <w:qFormat/>
    <w:rsid w:val="00F12EB1"/>
    <w:rPr>
      <w:b/>
      <w:bCs/>
    </w:rPr>
  </w:style>
  <w:style w:type="character" w:styleId="Emphasis">
    <w:name w:val="Emphasis"/>
    <w:basedOn w:val="DefaultParagraphFont"/>
    <w:qFormat/>
    <w:rsid w:val="00F12EB1"/>
    <w:rPr>
      <w:i/>
      <w:iCs/>
    </w:rPr>
  </w:style>
  <w:style w:type="paragraph" w:styleId="ListParagraph">
    <w:name w:val="List Paragraph"/>
    <w:basedOn w:val="Normal"/>
    <w:uiPriority w:val="34"/>
    <w:qFormat/>
    <w:rsid w:val="00F12EB1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D2AD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D2ADE"/>
    <w:rPr>
      <w:rFonts w:ascii="Calibri" w:hAnsi="Calibri"/>
      <w:lang w:val="x-none" w:eastAsia="x-none"/>
    </w:rPr>
  </w:style>
  <w:style w:type="paragraph" w:styleId="NormalWeb">
    <w:name w:val="Normal (Web)"/>
    <w:basedOn w:val="Normal"/>
    <w:uiPriority w:val="99"/>
    <w:unhideWhenUsed/>
    <w:rsid w:val="004D2AD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4D2ADE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D2ADE"/>
    <w:rPr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D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D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DE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12EB1"/>
    <w:pPr>
      <w:keepNext/>
      <w:spacing w:after="0" w:line="240" w:lineRule="auto"/>
      <w:jc w:val="center"/>
      <w:outlineLvl w:val="0"/>
    </w:pPr>
    <w:rPr>
      <w:rFonts w:ascii="Arial Armenian" w:hAnsi="Arial Armeni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F12EB1"/>
    <w:pPr>
      <w:keepNext/>
      <w:spacing w:after="0" w:line="240" w:lineRule="auto"/>
      <w:jc w:val="center"/>
      <w:outlineLvl w:val="1"/>
    </w:pPr>
    <w:rPr>
      <w:rFonts w:ascii="Baltica" w:hAnsi="Baltica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12EB1"/>
    <w:pPr>
      <w:keepNext/>
      <w:spacing w:after="0" w:line="240" w:lineRule="auto"/>
      <w:ind w:right="630"/>
      <w:jc w:val="center"/>
      <w:outlineLvl w:val="2"/>
    </w:pPr>
    <w:rPr>
      <w:rFonts w:ascii="Times Armenian" w:hAnsi="Times Armenian"/>
      <w:sz w:val="3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2EB1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</w:rPr>
  </w:style>
  <w:style w:type="paragraph" w:styleId="Heading5">
    <w:name w:val="heading 5"/>
    <w:basedOn w:val="Normal"/>
    <w:next w:val="Normal"/>
    <w:link w:val="Heading5Char"/>
    <w:qFormat/>
    <w:rsid w:val="00F12EB1"/>
    <w:pPr>
      <w:keepNext/>
      <w:spacing w:after="0" w:line="240" w:lineRule="auto"/>
      <w:jc w:val="center"/>
      <w:outlineLvl w:val="4"/>
    </w:pPr>
    <w:rPr>
      <w:rFonts w:ascii="Times Armenian" w:hAnsi="Times Armenian"/>
      <w:b/>
      <w:sz w:val="28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12EB1"/>
    <w:pPr>
      <w:keepNext/>
      <w:spacing w:after="0" w:line="240" w:lineRule="auto"/>
      <w:ind w:left="-851"/>
      <w:outlineLvl w:val="5"/>
    </w:pPr>
    <w:rPr>
      <w:rFonts w:ascii="Times Armenian" w:hAnsi="Times Armenian"/>
      <w:sz w:val="36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12EB1"/>
    <w:pPr>
      <w:keepNext/>
      <w:spacing w:after="0" w:line="240" w:lineRule="auto"/>
      <w:ind w:left="-851"/>
      <w:outlineLvl w:val="6"/>
    </w:pPr>
    <w:rPr>
      <w:rFonts w:ascii="Times Armenian" w:hAnsi="Times Armenian"/>
      <w:sz w:val="24"/>
      <w:szCs w:val="20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F12EB1"/>
    <w:pPr>
      <w:keepNext/>
      <w:spacing w:after="0" w:line="240" w:lineRule="auto"/>
      <w:jc w:val="center"/>
      <w:outlineLvl w:val="7"/>
    </w:pPr>
    <w:rPr>
      <w:rFonts w:ascii="Arial Armenian" w:hAnsi="Arial Armeni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F12EB1"/>
    <w:pPr>
      <w:keepNext/>
      <w:spacing w:after="0" w:line="240" w:lineRule="auto"/>
      <w:jc w:val="center"/>
      <w:outlineLvl w:val="8"/>
    </w:pPr>
    <w:rPr>
      <w:rFonts w:ascii="Baltica" w:hAnsi="Baltica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EB1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F12EB1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F12EB1"/>
    <w:rPr>
      <w:rFonts w:ascii="Times Armenian" w:hAnsi="Times Armenian"/>
      <w:sz w:val="3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F12EB1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F12EB1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F12EB1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F12EB1"/>
    <w:rPr>
      <w:rFonts w:ascii="Times Armenian" w:hAnsi="Times Armenian"/>
      <w:sz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F12EB1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12EB1"/>
    <w:rPr>
      <w:rFonts w:ascii="Baltica" w:hAnsi="Baltica"/>
      <w:sz w:val="24"/>
      <w:lang w:val="en-GB" w:eastAsia="ru-RU"/>
    </w:rPr>
  </w:style>
  <w:style w:type="character" w:styleId="Strong">
    <w:name w:val="Strong"/>
    <w:basedOn w:val="DefaultParagraphFont"/>
    <w:qFormat/>
    <w:rsid w:val="00F12EB1"/>
    <w:rPr>
      <w:b/>
      <w:bCs/>
    </w:rPr>
  </w:style>
  <w:style w:type="character" w:styleId="Emphasis">
    <w:name w:val="Emphasis"/>
    <w:basedOn w:val="DefaultParagraphFont"/>
    <w:qFormat/>
    <w:rsid w:val="00F12EB1"/>
    <w:rPr>
      <w:i/>
      <w:iCs/>
    </w:rPr>
  </w:style>
  <w:style w:type="paragraph" w:styleId="ListParagraph">
    <w:name w:val="List Paragraph"/>
    <w:basedOn w:val="Normal"/>
    <w:uiPriority w:val="34"/>
    <w:qFormat/>
    <w:rsid w:val="00F12EB1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D2AD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D2ADE"/>
    <w:rPr>
      <w:rFonts w:ascii="Calibri" w:hAnsi="Calibri"/>
      <w:lang w:val="x-none" w:eastAsia="x-none"/>
    </w:rPr>
  </w:style>
  <w:style w:type="paragraph" w:styleId="NormalWeb">
    <w:name w:val="Normal (Web)"/>
    <w:basedOn w:val="Normal"/>
    <w:uiPriority w:val="99"/>
    <w:unhideWhenUsed/>
    <w:rsid w:val="004D2AD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4D2ADE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D2ADE"/>
    <w:rPr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D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D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h.aperyan</dc:creator>
  <cp:lastModifiedBy>h.aperyan</cp:lastModifiedBy>
  <cp:revision>3</cp:revision>
  <dcterms:created xsi:type="dcterms:W3CDTF">2019-08-27T08:08:00Z</dcterms:created>
  <dcterms:modified xsi:type="dcterms:W3CDTF">2019-09-03T07:21:00Z</dcterms:modified>
  <cp:keywords>https://mul2.gov.am/tasks/123500/oneclick/3himnavorum.docx?token=8bbcd5536c8ecf6d221fd979b37a4d86</cp:keywords>
</cp:coreProperties>
</file>