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D8" w:rsidRPr="005B6AE9" w:rsidRDefault="00296CD8" w:rsidP="005B6AE9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ԽՈՒՄԲ 31</w:t>
      </w:r>
    </w:p>
    <w:p w:rsidR="00296CD8" w:rsidRPr="005B6AE9" w:rsidRDefault="00296CD8" w:rsidP="005B6AE9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ՊԱՐԱՐՏԱՆՅՈՒԹԵՐ</w:t>
      </w:r>
    </w:p>
    <w:p w:rsidR="00296CD8" w:rsidRPr="005B6AE9" w:rsidRDefault="00296CD8" w:rsidP="005B6AE9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296CD8" w:rsidRPr="005B6AE9" w:rsidRDefault="00296CD8" w:rsidP="005B6AE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1.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Տվյալ խմբում չեն ընդգրկվում՝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ա)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0511 ապրանքային դիրքում ընդգրկված կենդանիների արյունը,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բ)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քիմիական որոշակի բաղադրության առանձին միացությունները (բացի 2ա, 3ա, 4ա կամ 5 ծանոթագրություններում նշվածներից), 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գ) 3824 ապրանքային դիրքում ընդգրկվող կալիումի քլորիդի արհեստականորեն աճեցրած բյուրեղները (բացի օպտիկական տարրերից) յուրաքանչյուրը 2.5 գ-ից ոչ պակաս զանգվածով, կալիումի քլորիդի օպտիկական</w:t>
      </w:r>
      <w:r w:rsidR="005B6AE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9476B">
        <w:rPr>
          <w:rFonts w:ascii="GHEA Grapalat" w:hAnsi="GHEA Grapalat"/>
          <w:color w:val="000000"/>
          <w:sz w:val="24"/>
          <w:szCs w:val="24"/>
        </w:rPr>
        <w:t>տարրերը (</w:t>
      </w:r>
      <w:r w:rsidRPr="005B6AE9">
        <w:rPr>
          <w:rFonts w:ascii="GHEA Grapalat" w:hAnsi="GHEA Grapalat"/>
          <w:color w:val="000000"/>
          <w:sz w:val="24"/>
          <w:szCs w:val="24"/>
        </w:rPr>
        <w:t>ապրանքային դիրք 9001)։</w:t>
      </w:r>
    </w:p>
    <w:p w:rsidR="00296CD8" w:rsidRPr="005B6AE9" w:rsidRDefault="00296CD8" w:rsidP="005B6AE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2.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3102 ապրանքային դիրքում ընդգրկվում են միայն հետ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>յալ ապրանքներն այն պայմանով, որ դրանք բաժնեծրարված չեն 3105 ապրանքային դիրքում նախատեսված տարաներում կամ փաթեթվածքներում՝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ա) ապրանքներ, որոնք համապատասխանում են ստոր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ներկայացված այս կամ այն նկարագրությանը՝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նատրիումի նիտրատ` խառնուկներով կամ առանց խառնուկների,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ամոնիումի նիտրատ` խառնուկներով կամ առանց խառնուկների,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ամոնիումի սուլֆատի 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ամոնիումի նիտրատի կրկնակի աղեր` խառնուկներով կամ առանց խառնուկների,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iv)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ամոնիումի սուլֆատ` խառնուկներով կամ առանց խառնուկների,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v)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կրկնակի աղեր (խառնուկներով կամ առանց խառնուկների) կամ կալցիումի նիտրատի 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ամոնիումի նիտրատի խառնուրդներ,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vi)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կրկնակի աղեր (խառնուկներով կամ առանց խառնուկների) կամ կալցիումի նիտրատի 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մագնեզիումի նիտրատի խառնուրդներ,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lastRenderedPageBreak/>
        <w:t>vii)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կալցիումի ցիանամիդ` խառնուկներով կամ առանց խառնուկների, յուղով մշակված կամ չմշակված,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viii)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միզանյութ` խառնուկներով կամ առանց խառնուկների.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բ)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պարարտանյութեր՝ բաղկացած 2ա ծանոթագրության մեջ նշված ցանկացած նյութերի խառնուրդներից,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գ)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պարարտանյութեր՝ բաղկացած ամոնիումի քլորիդից կամ 2ա կամ 2բ ծանոթագրության մեջ նշված ցանկացած այլ նյութից` կավճի, գիպսի կամ պարարտանյութ չհանդիսացող այլ անօրգանական նյութերի հետ խառնած,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դ)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հեղուկ պարարտանյութեր, որոնք բաղկացած են 2ա (ii) կամ 2ա</w:t>
      </w:r>
      <w:r w:rsidR="0079476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(viii) ծանոթագրության մեջ նշված ապրանքներից կամ այդ ապրանքների խառնուրդներից՝ ջրային կամ ամիակի լուծույթներում։ </w:t>
      </w:r>
    </w:p>
    <w:p w:rsidR="00296CD8" w:rsidRPr="005B6AE9" w:rsidRDefault="00296CD8" w:rsidP="005B6AE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3.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3103 ապրանքային դիրքում ընդգրկվում են միայն հետ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>յալ ապրանքներն այն պայմանով, որ դրանք բաժնեծրարված չեն 3105 ապրանքային դիրքում նախատեսված տարաներում կամ փաթեթվածքներում.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ա) ապրանքներ, որոնք համապատասխանում են ստոր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ներկայացված այս կամ այն նկարագրությանը՝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հիմնական խարամ,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2510 ապրանքային դիրքում ընդգրկված բնական ֆոսֆատներ՝ կալցինացված կամ մշակված ավելի բարձր ջերմաստիճանում, քան անհրաժեշտ է խառնուկները հեռացնելու համար,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սուպերֆոսֆատներ (պարզ, կրկնակի կամ եռակի),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 xml:space="preserve">iv) կալցիումի հիդրոֆոսֆատ, որը չոր անջուր նյութի վերահաշվարկով պարունակում է 0.2 զանգվ.%-ից ոչ պակաս ֆտոր, 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բ) պարարտանյութեր՝ բաղկացած 3ա ծանոթագրության մեջ նշված ցանկացած ապրանքների խառնուրդներից, սակայն առանց հաշվի առնելու ֆտորի սահմանային պարունակությունը,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lastRenderedPageBreak/>
        <w:t>գ)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պարարտանյութեր՝ բաղկացած 3ա կամ 3բ ծանոթագրության մեջ նշված ցանկացած ապրանքներից, սակայն առանց հաշվի առնելու ֆտորի սահմանային պարունակությունը, կավճի, գիպսի կամ պարարտանյութ չհանդիսացող այլ անօրգանական նյութերի հետ խառնած։</w:t>
      </w:r>
    </w:p>
    <w:p w:rsidR="00296CD8" w:rsidRPr="005B6AE9" w:rsidRDefault="00296CD8" w:rsidP="005B6AE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4.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3104 ապրանքային դիրքում ընդգրկվում են միայն հետ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>յալ ապրանքներն այն պայմանով, որ դրանք բաժնեծրարված չեն 3105 ապրանքային դիրքում նախատեսված տարաներում կամ փաթեթվածքներում՝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ա) ապրանքներ, որոնք համապատասխանում են ստոր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ներկայացված այս կամ այն նկարագրությանը՝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չմշակված կալիումական աղեր (օրինակ` կառնալիտ, կաինիտ 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սիլվին),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կալիումի քլորիդ` խառնուկներով կամ առանց խառնուկների՝ բացառությամբ 1գ ծանոթագրության մեջ նշվածի,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iii)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կալիումի սուլֆատ՝ խառնուկներով կամ առանց խառնուկների,</w:t>
      </w:r>
    </w:p>
    <w:p w:rsidR="00296CD8" w:rsidRPr="005B6AE9" w:rsidRDefault="00296CD8" w:rsidP="005B6AE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iv)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մագնեզիումակալիումական սուլֆատ` խառնուկներով կամ առանց խառնուկների,</w:t>
      </w:r>
    </w:p>
    <w:p w:rsidR="00296CD8" w:rsidRPr="005B6AE9" w:rsidRDefault="00296CD8" w:rsidP="005B6AE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բ)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պարարտանյութեր՝ բաղկացած 4ա ծանոթագրության մեջ նշված ցանկացած նյութերի խառնուրդից:</w:t>
      </w:r>
    </w:p>
    <w:p w:rsidR="00296CD8" w:rsidRPr="005B6AE9" w:rsidRDefault="00296CD8" w:rsidP="005B6AE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5.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Ամոնիումի դիհիդրոֆոսֆատը (մոնոամոնիումի ֆոսֆատ) 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դիամոնիումի հիդրոֆոսֆատը (դիամոնիումի ֆոսֆատ)` խառնուկներով կամ առանց խառնուկների, ինչպես նա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այդ նյութերի խառնուրդները պետք է ընդգրկվեն 3105 ապրանքային դիրքում:</w:t>
      </w:r>
    </w:p>
    <w:p w:rsidR="00296CD8" w:rsidRPr="005B6AE9" w:rsidRDefault="00296CD8" w:rsidP="005B6AE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B6AE9">
        <w:rPr>
          <w:rFonts w:ascii="GHEA Grapalat" w:hAnsi="GHEA Grapalat"/>
          <w:color w:val="000000"/>
          <w:sz w:val="24"/>
          <w:szCs w:val="24"/>
        </w:rPr>
        <w:t>6.</w:t>
      </w:r>
      <w:r w:rsidR="005B6AE9">
        <w:rPr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3105 ապրանքային դիրքում ընդգրկված «այլ պարարտանյութեր» եզրույթն ասելով հասկացվում են միայն այն ապրանքները, որոնք օգտագործվում են որպես պարարտանյութեր, 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 xml:space="preserve"> որոնք որպես հիմնական բաղադրամաս պարունակում են հետ</w:t>
      </w:r>
      <w:r w:rsidR="005B6AE9">
        <w:rPr>
          <w:rFonts w:ascii="GHEA Grapalat" w:hAnsi="GHEA Grapalat"/>
          <w:color w:val="000000"/>
          <w:sz w:val="24"/>
          <w:szCs w:val="24"/>
        </w:rPr>
        <w:t>եւ</w:t>
      </w:r>
      <w:r w:rsidRPr="005B6AE9">
        <w:rPr>
          <w:rFonts w:ascii="GHEA Grapalat" w:hAnsi="GHEA Grapalat"/>
          <w:color w:val="000000"/>
          <w:sz w:val="24"/>
          <w:szCs w:val="24"/>
        </w:rPr>
        <w:t>յալ սննդարար տարրերից առնվազն մեկը`</w:t>
      </w:r>
      <w:r w:rsidR="005B6AE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B6AE9">
        <w:rPr>
          <w:rFonts w:ascii="GHEA Grapalat" w:hAnsi="GHEA Grapalat"/>
          <w:color w:val="000000"/>
          <w:sz w:val="24"/>
          <w:szCs w:val="24"/>
        </w:rPr>
        <w:t>ազոտ, ֆոսֆոր կամ կալիում:</w:t>
      </w:r>
    </w:p>
    <w:p w:rsidR="00296CD8" w:rsidRPr="005B6AE9" w:rsidRDefault="00296CD8" w:rsidP="005B6AE9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69"/>
        <w:gridCol w:w="1695"/>
        <w:gridCol w:w="6434"/>
        <w:gridCol w:w="1454"/>
      </w:tblGrid>
      <w:tr w:rsidR="00A82C67" w:rsidRPr="005B6AE9" w:rsidTr="0079476B">
        <w:trPr>
          <w:cantSplit/>
          <w:tblHeader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C67" w:rsidRPr="005B6AE9" w:rsidRDefault="00A82C67" w:rsidP="005B6AE9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C67" w:rsidRPr="005B6AE9" w:rsidRDefault="00A82C67" w:rsidP="005B6AE9">
            <w:pPr>
              <w:pStyle w:val="a6"/>
              <w:ind w:right="-21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4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C67" w:rsidRPr="005B6AE9" w:rsidRDefault="00A82C67" w:rsidP="005B6AE9">
            <w:pPr>
              <w:pStyle w:val="a6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3101 00 000 0</w:t>
            </w:r>
          </w:p>
        </w:tc>
        <w:tc>
          <w:tcPr>
            <w:tcW w:w="6434" w:type="dxa"/>
            <w:tcBorders>
              <w:top w:val="single" w:sz="4" w:space="0" w:color="auto"/>
            </w:tcBorders>
          </w:tcPr>
          <w:p w:rsidR="00A82C67" w:rsidRPr="005B6AE9" w:rsidRDefault="00A82C67" w:rsidP="005B6AE9">
            <w:pPr>
              <w:pStyle w:val="3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Կենդանական կամ բուսական ծագման պարարտանյութեր` խառնած կամ չխառնած, քիմիական եղանակով մշակված կամ չմշակված, պարարտանյութեր՝ ստացված բուսական կամ կենդանական ծագման մթերքը խառնելու կամ քիմիական մշակման ենթարկելու միջոցով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Պարարտանյութեր՝ հանքային կամ քիմիական, ազոտական 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3102 10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միզանյութ, այդ թվում՝ ջրային լուծույթում՝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3102 10 100 0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միզանյութ, որը չոր անջուր նյութի վերահաշվարկով պարունակում է 45 զանգվ.%-ից ավելի ազոտ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3102 10 900 0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ամոնիումի սուլֆատ, ամոնիումի սուլֆատի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ամոնիումի նիտրատի կրկնակի աղեր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խառնուրդներ՝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3102 21 000 0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ամոնիումի սուլֆատ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3102 29 000 0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3102 30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ամոնիումի նիտրատ, այդ թվում՝ ջրային լուծույթում՝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3102 30 100 0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ջրային լուծույթում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D10663">
            <w:pPr>
              <w:pStyle w:val="a5"/>
              <w:ind w:right="-7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3102 30 900 0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3102 40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ամոնիումի նիտրատի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կալցիումի կարբոնատի կամ պարարտանյութ չհանդիսացող այլ անօրգանական նյութերի խառնուրդներ՝</w:t>
            </w:r>
          </w:p>
        </w:tc>
        <w:tc>
          <w:tcPr>
            <w:tcW w:w="1454" w:type="dxa"/>
          </w:tcPr>
          <w:p w:rsidR="00A82C67" w:rsidRPr="005B6AE9" w:rsidRDefault="005B6AE9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3102 40 100 0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28 զանգվ. %-ից ոչ ավելի ազոտի պարունակությամբ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3102 40 900 0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28 զանգվ. %-ից ավելի ազոտի պարունակությամբ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3102 50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- նատրիումի նիտրատ՝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3102 50 100 0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նատրիումի բնական նիտրատ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D10663">
            <w:pPr>
              <w:pStyle w:val="a5"/>
              <w:ind w:right="-7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3102 50 900 0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D10663">
            <w:pPr>
              <w:pStyle w:val="a5"/>
              <w:ind w:right="-7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3102 60 000 0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կալցիումի նիտրատի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ամոնիումի նիտրատի կրկնակի աղեր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խառնուրդներ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D10663">
            <w:pPr>
              <w:pStyle w:val="a5"/>
              <w:ind w:right="-7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3102 80 000 0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միզանյութի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ամոնիումի նիտրատի խառնուրդներ ջրային կամ ամոնիակի լուծույթում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D10663">
            <w:pPr>
              <w:pStyle w:val="a5"/>
              <w:ind w:right="-7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3102 90 000 0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այլ՝ ներառյալ նախորդ ենթադիրքերում չնշված խառնուրդները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N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3103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Պարարտանյութեր՝ հանքային կամ քիմիական, ֆոսֆորական՝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3103 10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սուպերֆոսֆատներ՝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3103 10 100 0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35 զանգվ.%-ից ավելի պենտաօքսիդ դիֆոսֆոր պարունակող 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P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5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5B6AE9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3103 10 900 0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P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5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3103 90 000 0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P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5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Պարարտանյութեր՝ հանքային կամ քիմիական, կալիումական</w:t>
            </w:r>
          </w:p>
        </w:tc>
        <w:tc>
          <w:tcPr>
            <w:tcW w:w="1454" w:type="dxa"/>
          </w:tcPr>
          <w:p w:rsidR="00A82C67" w:rsidRPr="00D10663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3104 20</w:t>
            </w:r>
          </w:p>
        </w:tc>
        <w:tc>
          <w:tcPr>
            <w:tcW w:w="6434" w:type="dxa"/>
          </w:tcPr>
          <w:p w:rsidR="00A82C67" w:rsidRPr="005B6AE9" w:rsidRDefault="00D10663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A82C67"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կալիումի քլորիդ՝</w:t>
            </w:r>
          </w:p>
        </w:tc>
        <w:tc>
          <w:tcPr>
            <w:tcW w:w="1454" w:type="dxa"/>
          </w:tcPr>
          <w:p w:rsidR="00A82C67" w:rsidRPr="00D10663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3104 20 100 0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անջուր չոր նյութում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О-ի վերահաշվարկով 40 զանգվ.%-ից ոչ ավելի կալիում պարունակող 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3104 20 500 0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անջուր չոր նյութում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О-ի վերահաշվարկով 40 զանգվ.%-ից ավելի, սակայն 62 զանգվ.%-ից ոչ ավելի կալիում պարունակող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3104 20 900 0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անջուր չոր նյութում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О-ի վերահաշվարկով 62 զանգվ.%-ից ավելի կալիում պարունակող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3104 30 000 0</w:t>
            </w:r>
          </w:p>
        </w:tc>
        <w:tc>
          <w:tcPr>
            <w:tcW w:w="6434" w:type="dxa"/>
          </w:tcPr>
          <w:p w:rsidR="00A82C67" w:rsidRPr="005B6AE9" w:rsidRDefault="00D10663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A82C67"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կալիումի սուլֆատ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3104 90 000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4" w:type="dxa"/>
          </w:tcPr>
          <w:p w:rsidR="00A82C67" w:rsidRPr="00D10663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3104 90 000 1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կառնալիտ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3104 90 000 9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կգ K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  <w:vertAlign w:val="subscript"/>
              </w:rPr>
              <w:t>2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О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Հանքային կամ քիմիական պարարտանյութեր`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երկու կամ երեք սննդարար տարր պարունակող` ազոտ, ֆոսֆոր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կալիում, այլ պարարտանյութեր, տվյալ խմբի ապրանքներ` հաբերով կամ նույնանման ձ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երով կամ փաթեթավորումներով, որոնց համաքաշը չի գերազանցում 10 կգ-ը՝</w:t>
            </w:r>
          </w:p>
        </w:tc>
        <w:tc>
          <w:tcPr>
            <w:tcW w:w="1454" w:type="dxa"/>
          </w:tcPr>
          <w:p w:rsidR="00A82C67" w:rsidRPr="00D10663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3105 10 000 0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տվյալ խմբի ապրանքներ` հաբերով կամ նույնանման ձ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երով կամ փաթեթավորումներով, որոնց համաքաշը չի գերազանցում 10 կգ-ը՝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3105 20 000 0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պարարտանյութեր՝ հանքային կամ քիմիական, երեք սննդարար տարր պարունակող՝ ազոտ, ֆոսֆոր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կալիում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3105 30 000 0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դիամոնիումի հիդրոֆոսֆատ (դիամոնիումի ֆոսֆատ) 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3105 40 000 0</w:t>
            </w:r>
          </w:p>
        </w:tc>
        <w:tc>
          <w:tcPr>
            <w:tcW w:w="6434" w:type="dxa"/>
          </w:tcPr>
          <w:p w:rsidR="00A82C67" w:rsidRPr="005B6AE9" w:rsidRDefault="00D10663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</w:t>
            </w:r>
            <w:r w:rsidR="00A82C67"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մոնիումի դիհիդրոֆոսֆատ (մոնոամոնիումի ֆոսֆատ)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82C67"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 ու դիամոնիումի հիդրոֆոսֆատի (դիամոնիումի ֆոսֆատի) խառնուրդները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D46820" w:rsidRDefault="00A82C67" w:rsidP="005B6AE9">
            <w:pPr>
              <w:pStyle w:val="a5"/>
              <w:ind w:right="-21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="00D46820" w:rsidRPr="005B6AE9">
              <w:rPr>
                <w:rFonts w:ascii="GHEA Grapalat" w:hAnsi="GHEA Grapalat"/>
                <w:color w:val="000000"/>
                <w:sz w:val="24"/>
                <w:szCs w:val="24"/>
              </w:rPr>
              <w:t>պ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արարտանյութեր՝ հանքային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քիմիական, երկու սննդարար տարր պարունակող՝ ազոտ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ֆոսֆոր՝</w:t>
            </w:r>
          </w:p>
        </w:tc>
        <w:tc>
          <w:tcPr>
            <w:tcW w:w="1454" w:type="dxa"/>
          </w:tcPr>
          <w:p w:rsidR="00A82C67" w:rsidRPr="00D10663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3105 51 000 0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նիտրատներ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ֆոսֆատներ պարունակող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3105 59 000 0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3105 60 000 0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="00D46820" w:rsidRPr="005B6AE9">
              <w:rPr>
                <w:rFonts w:ascii="GHEA Grapalat" w:hAnsi="GHEA Grapalat"/>
                <w:color w:val="000000"/>
                <w:sz w:val="24"/>
                <w:szCs w:val="24"/>
              </w:rPr>
              <w:t>պ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արարտանյութեր՝ հանքային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քիմիական, երկու սննդարար տարր պարունակող՝ ֆոսֆոր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կալիում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3105 90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54" w:type="dxa"/>
          </w:tcPr>
          <w:p w:rsidR="00A82C67" w:rsidRPr="00D10663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3105 90 100 0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կալիումի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նատրիումի բնական նիտրատ` բաղկացած նատրիումի նիտրատի </w:t>
            </w:r>
            <w:r w:rsidR="005B6AE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կալիումի նիտրատի բնական խառնուրդից (կալիումի նիտրատի բաժինը կարող է հասնել 44%-ի), անջուր չոր նյութի վերահաշվարկով 16.3 զանգվ.%-ից ոչ ավելի ազոտի ընդհանուր պարունակությամբ 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D10663" w:rsidRDefault="00A82C67" w:rsidP="005B6AE9">
            <w:pPr>
              <w:pStyle w:val="a5"/>
              <w:ind w:right="-21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454" w:type="dxa"/>
          </w:tcPr>
          <w:p w:rsidR="00A82C67" w:rsidRPr="00D10663" w:rsidRDefault="00A82C67" w:rsidP="005B6AE9">
            <w:pPr>
              <w:pStyle w:val="a7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3105 90 910 0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="00D46820">
              <w:rPr>
                <w:rFonts w:ascii="Sylfaen" w:hAnsi="Sylfaen"/>
                <w:color w:val="000000"/>
                <w:sz w:val="24"/>
                <w:szCs w:val="24"/>
              </w:rPr>
              <w:t xml:space="preserve">–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անջուր չոր նյութի վերահաշվարկով 10 զանգվ.%-ից ավելի ազոտ պարունակող 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A82C67" w:rsidRPr="005B6AE9" w:rsidTr="0079476B">
        <w:trPr>
          <w:cantSplit/>
          <w:jc w:val="center"/>
        </w:trPr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</w:tcPr>
          <w:p w:rsidR="00A82C67" w:rsidRPr="00D10663" w:rsidRDefault="00A82C67" w:rsidP="005B6AE9">
            <w:pPr>
              <w:pStyle w:val="a5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A82C67" w:rsidRPr="005B6AE9" w:rsidRDefault="00A82C67" w:rsidP="005B6AE9">
            <w:pPr>
              <w:pStyle w:val="a5"/>
              <w:ind w:right="-2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3105 90 990 0</w:t>
            </w:r>
          </w:p>
        </w:tc>
        <w:tc>
          <w:tcPr>
            <w:tcW w:w="6434" w:type="dxa"/>
          </w:tcPr>
          <w:p w:rsidR="00A82C67" w:rsidRPr="005B6AE9" w:rsidRDefault="00A82C67" w:rsidP="005B6AE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6AE9">
              <w:rPr>
                <w:color w:val="000000"/>
                <w:sz w:val="24"/>
                <w:szCs w:val="24"/>
              </w:rPr>
              <w:t xml:space="preserve"> </w:t>
            </w: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54" w:type="dxa"/>
          </w:tcPr>
          <w:p w:rsidR="00A82C67" w:rsidRPr="005B6AE9" w:rsidRDefault="00A82C67" w:rsidP="005B6AE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B6AE9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296CD8" w:rsidRPr="005B6AE9" w:rsidRDefault="00296CD8" w:rsidP="005B6AE9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296CD8" w:rsidRPr="005B6AE9" w:rsidSect="005B6AE9">
      <w:headerReference w:type="even" r:id="rId6"/>
      <w:headerReference w:type="default" r:id="rId7"/>
      <w:footerReference w:type="default" r:id="rId8"/>
      <w:pgSz w:w="11907" w:h="16834"/>
      <w:pgMar w:top="1134" w:right="850" w:bottom="1134" w:left="1701" w:header="720" w:footer="720" w:gutter="0"/>
      <w:pgNumType w:start="288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BCB" w:rsidRDefault="00DA6BCB">
      <w:r>
        <w:separator/>
      </w:r>
    </w:p>
  </w:endnote>
  <w:endnote w:type="continuationSeparator" w:id="1">
    <w:p w:rsidR="00DA6BCB" w:rsidRDefault="00DA6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5B" w:rsidRDefault="00573F5B">
    <w:pPr>
      <w:framePr w:wrap="auto" w:vAnchor="text" w:hAnchor="margin" w:xAlign="center" w:y="1"/>
      <w:tabs>
        <w:tab w:val="center" w:pos="4536"/>
        <w:tab w:val="right" w:pos="9072"/>
      </w:tabs>
      <w:rPr>
        <w:sz w:val="28"/>
      </w:rPr>
    </w:pPr>
  </w:p>
  <w:p w:rsidR="00573F5B" w:rsidRDefault="00573F5B" w:rsidP="002B7D16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BCB" w:rsidRDefault="00DA6BCB">
      <w:r>
        <w:separator/>
      </w:r>
    </w:p>
  </w:footnote>
  <w:footnote w:type="continuationSeparator" w:id="1">
    <w:p w:rsidR="00DA6BCB" w:rsidRDefault="00DA6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55" w:rsidRDefault="00232B80" w:rsidP="00C533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37855">
      <w:rPr>
        <w:rStyle w:val="PageNumber"/>
      </w:rPr>
      <w:instrText>PAGE</w:instrText>
    </w:r>
    <w:r w:rsidR="0079476B">
      <w:rPr>
        <w:rStyle w:val="PageNumber"/>
      </w:rPr>
      <w:instrText xml:space="preserve"> </w:instrText>
    </w:r>
    <w:r>
      <w:rPr>
        <w:rStyle w:val="PageNumber"/>
      </w:rPr>
      <w:fldChar w:fldCharType="end"/>
    </w:r>
  </w:p>
  <w:p w:rsidR="00674FAC" w:rsidRDefault="00674F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5B" w:rsidRDefault="00573F5B">
    <w:pPr>
      <w:tabs>
        <w:tab w:val="center" w:pos="4536"/>
        <w:tab w:val="right" w:pos="9072"/>
      </w:tabs>
      <w:ind w:right="360"/>
      <w:jc w:val="center"/>
      <w:rPr>
        <w:sz w:val="2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8E3F5A"/>
    <w:rsid w:val="000A2005"/>
    <w:rsid w:val="000B49E9"/>
    <w:rsid w:val="000B5789"/>
    <w:rsid w:val="000D4CB8"/>
    <w:rsid w:val="000E68CF"/>
    <w:rsid w:val="00142008"/>
    <w:rsid w:val="0016559A"/>
    <w:rsid w:val="0017336D"/>
    <w:rsid w:val="0018032F"/>
    <w:rsid w:val="00232B80"/>
    <w:rsid w:val="0024001D"/>
    <w:rsid w:val="0025316F"/>
    <w:rsid w:val="00286245"/>
    <w:rsid w:val="00296CD8"/>
    <w:rsid w:val="002B7D16"/>
    <w:rsid w:val="002D0DE4"/>
    <w:rsid w:val="002D22DC"/>
    <w:rsid w:val="002D586A"/>
    <w:rsid w:val="002F5361"/>
    <w:rsid w:val="00312BCA"/>
    <w:rsid w:val="00337E01"/>
    <w:rsid w:val="00362621"/>
    <w:rsid w:val="003A4408"/>
    <w:rsid w:val="003A5DFD"/>
    <w:rsid w:val="003E7090"/>
    <w:rsid w:val="003F60FC"/>
    <w:rsid w:val="00431430"/>
    <w:rsid w:val="00435349"/>
    <w:rsid w:val="00461619"/>
    <w:rsid w:val="004B3831"/>
    <w:rsid w:val="00500B17"/>
    <w:rsid w:val="00505053"/>
    <w:rsid w:val="0050684E"/>
    <w:rsid w:val="005302F1"/>
    <w:rsid w:val="0053234D"/>
    <w:rsid w:val="00563A32"/>
    <w:rsid w:val="00563E57"/>
    <w:rsid w:val="00573F5B"/>
    <w:rsid w:val="005B4FAB"/>
    <w:rsid w:val="005B6AE9"/>
    <w:rsid w:val="006210C5"/>
    <w:rsid w:val="00656FBF"/>
    <w:rsid w:val="00674FAC"/>
    <w:rsid w:val="00692E9F"/>
    <w:rsid w:val="006A3972"/>
    <w:rsid w:val="006F4016"/>
    <w:rsid w:val="006F4CAA"/>
    <w:rsid w:val="007215DF"/>
    <w:rsid w:val="00736F35"/>
    <w:rsid w:val="007875FB"/>
    <w:rsid w:val="0079476B"/>
    <w:rsid w:val="007A1369"/>
    <w:rsid w:val="007E4B10"/>
    <w:rsid w:val="00804E7C"/>
    <w:rsid w:val="0081784B"/>
    <w:rsid w:val="008A0DCD"/>
    <w:rsid w:val="008E3F5A"/>
    <w:rsid w:val="008F74EF"/>
    <w:rsid w:val="00911CD0"/>
    <w:rsid w:val="00926337"/>
    <w:rsid w:val="009458BE"/>
    <w:rsid w:val="00954ABC"/>
    <w:rsid w:val="009F2E2C"/>
    <w:rsid w:val="009F3205"/>
    <w:rsid w:val="00A05A60"/>
    <w:rsid w:val="00A24F2C"/>
    <w:rsid w:val="00A40EBE"/>
    <w:rsid w:val="00A440E3"/>
    <w:rsid w:val="00A82C67"/>
    <w:rsid w:val="00AC330C"/>
    <w:rsid w:val="00AC5529"/>
    <w:rsid w:val="00B15974"/>
    <w:rsid w:val="00B61E99"/>
    <w:rsid w:val="00BB13EC"/>
    <w:rsid w:val="00BF6758"/>
    <w:rsid w:val="00C32930"/>
    <w:rsid w:val="00C53338"/>
    <w:rsid w:val="00C56FFB"/>
    <w:rsid w:val="00C80D3B"/>
    <w:rsid w:val="00C813AD"/>
    <w:rsid w:val="00CC0728"/>
    <w:rsid w:val="00CE24B7"/>
    <w:rsid w:val="00CF4407"/>
    <w:rsid w:val="00D00615"/>
    <w:rsid w:val="00D0498F"/>
    <w:rsid w:val="00D10663"/>
    <w:rsid w:val="00D46820"/>
    <w:rsid w:val="00D567BF"/>
    <w:rsid w:val="00D60ED5"/>
    <w:rsid w:val="00DA6BCB"/>
    <w:rsid w:val="00DF313F"/>
    <w:rsid w:val="00E03E6F"/>
    <w:rsid w:val="00E072AB"/>
    <w:rsid w:val="00E170B1"/>
    <w:rsid w:val="00E47D7E"/>
    <w:rsid w:val="00E55F47"/>
    <w:rsid w:val="00E60688"/>
    <w:rsid w:val="00E80F10"/>
    <w:rsid w:val="00EC372E"/>
    <w:rsid w:val="00EC4346"/>
    <w:rsid w:val="00EE0251"/>
    <w:rsid w:val="00EF522E"/>
    <w:rsid w:val="00F37855"/>
    <w:rsid w:val="00F72526"/>
    <w:rsid w:val="00FD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3972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18032F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18032F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18032F"/>
    <w:rPr>
      <w:b/>
      <w:sz w:val="26"/>
      <w:szCs w:val="26"/>
    </w:rPr>
  </w:style>
  <w:style w:type="paragraph" w:customStyle="1" w:styleId="a2">
    <w:name w:val="пункт примечания"/>
    <w:basedOn w:val="Normal"/>
    <w:rsid w:val="0018032F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18032F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на тире в подпункте"/>
    <w:basedOn w:val="Normal"/>
    <w:rsid w:val="0018032F"/>
    <w:pPr>
      <w:ind w:left="765" w:hanging="198"/>
      <w:jc w:val="both"/>
    </w:pPr>
    <w:rPr>
      <w:sz w:val="26"/>
      <w:szCs w:val="26"/>
    </w:rPr>
  </w:style>
  <w:style w:type="paragraph" w:styleId="BalloonText">
    <w:name w:val="Balloon Text"/>
    <w:basedOn w:val="Normal"/>
    <w:semiHidden/>
    <w:rsid w:val="00C56FFB"/>
    <w:rPr>
      <w:rFonts w:ascii="Tahoma" w:hAnsi="Tahoma" w:cs="Tahoma"/>
      <w:sz w:val="16"/>
      <w:szCs w:val="16"/>
    </w:rPr>
  </w:style>
  <w:style w:type="paragraph" w:customStyle="1" w:styleId="a5">
    <w:name w:val="код в колонке"/>
    <w:basedOn w:val="Normal"/>
    <w:rsid w:val="0081784B"/>
    <w:pPr>
      <w:ind w:left="57" w:right="57"/>
    </w:pPr>
    <w:rPr>
      <w:sz w:val="26"/>
      <w:szCs w:val="26"/>
    </w:rPr>
  </w:style>
  <w:style w:type="paragraph" w:customStyle="1" w:styleId="a6">
    <w:name w:val="текст тп"/>
    <w:basedOn w:val="Normal"/>
    <w:rsid w:val="0081784B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a7">
    <w:name w:val="е/изм"/>
    <w:basedOn w:val="Normal"/>
    <w:rsid w:val="00E80F10"/>
    <w:pPr>
      <w:ind w:left="28" w:right="28"/>
      <w:jc w:val="center"/>
    </w:pPr>
    <w:rPr>
      <w:sz w:val="26"/>
      <w:szCs w:val="26"/>
    </w:rPr>
  </w:style>
  <w:style w:type="paragraph" w:customStyle="1" w:styleId="a8">
    <w:name w:val="шапка наименов"/>
    <w:basedOn w:val="Normal"/>
    <w:rsid w:val="0050684E"/>
    <w:pPr>
      <w:jc w:val="center"/>
    </w:pPr>
    <w:rPr>
      <w:sz w:val="26"/>
    </w:rPr>
  </w:style>
  <w:style w:type="paragraph" w:customStyle="1" w:styleId="1">
    <w:name w:val="д1"/>
    <w:basedOn w:val="Normal"/>
    <w:rsid w:val="0081784B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81784B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81784B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a9">
    <w:name w:val="подпункт на тире"/>
    <w:basedOn w:val="a3"/>
    <w:rsid w:val="0016559A"/>
    <w:pPr>
      <w:keepLines/>
      <w:suppressAutoHyphens/>
      <w:ind w:left="482" w:hanging="198"/>
    </w:pPr>
  </w:style>
  <w:style w:type="paragraph" w:styleId="Header">
    <w:name w:val="header"/>
    <w:basedOn w:val="Normal"/>
    <w:rsid w:val="00E6068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E6068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378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1133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31</vt:lpstr>
      <vt:lpstr>?????? 31</vt:lpstr>
    </vt:vector>
  </TitlesOfParts>
  <Company>TTU GTK RF</Company>
  <LinksUpToDate>false</LinksUpToDate>
  <CharactersWithSpaces>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31</dc:title>
  <dc:creator>Reanimator 99 CD</dc:creator>
  <cp:lastModifiedBy>Ruzannah</cp:lastModifiedBy>
  <cp:revision>9</cp:revision>
  <cp:lastPrinted>2011-11-07T09:55:00Z</cp:lastPrinted>
  <dcterms:created xsi:type="dcterms:W3CDTF">2014-07-04T08:15:00Z</dcterms:created>
  <dcterms:modified xsi:type="dcterms:W3CDTF">2014-09-26T10:39:00Z</dcterms:modified>
</cp:coreProperties>
</file>